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437792" w:rsidRDefault="00621F78" w:rsidP="0043779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EMPLOYEE ASSISTANCE PROGRAM </w:t>
      </w:r>
    </w:p>
    <w:p w:rsidR="00437792" w:rsidRDefault="000F10EA" w:rsidP="00C807AA">
      <w:pPr>
        <w:spacing w:after="0"/>
        <w:jc w:val="center"/>
        <w:rPr>
          <w:sz w:val="24"/>
          <w:szCs w:val="24"/>
        </w:rPr>
      </w:pPr>
      <w:r w:rsidRPr="00C807AA">
        <w:rPr>
          <w:sz w:val="24"/>
          <w:szCs w:val="24"/>
        </w:rPr>
        <w:t>SPONSORED</w:t>
      </w:r>
      <w:r w:rsidR="00437792" w:rsidRPr="00C807AA">
        <w:rPr>
          <w:sz w:val="24"/>
          <w:szCs w:val="24"/>
        </w:rPr>
        <w:t xml:space="preserve"> BY CATHOLIC HUMAN SERVICES</w:t>
      </w:r>
    </w:p>
    <w:p w:rsidR="00C807AA" w:rsidRPr="00C807AA" w:rsidRDefault="00C807AA" w:rsidP="00C807AA">
      <w:pPr>
        <w:spacing w:after="0"/>
        <w:jc w:val="center"/>
        <w:rPr>
          <w:sz w:val="24"/>
          <w:szCs w:val="24"/>
        </w:rPr>
      </w:pPr>
    </w:p>
    <w:p w:rsidR="00E42232" w:rsidRPr="00E42232" w:rsidRDefault="00E42232" w:rsidP="00901935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We all experience times when we need a little help managing our lives.   It is a program that offers support, guidance and resources for you and your family that will help you find a good work life balance.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10EA" w:rsidTr="000F10EA">
        <w:tc>
          <w:tcPr>
            <w:tcW w:w="4788" w:type="dxa"/>
          </w:tcPr>
          <w:p w:rsidR="000F10EA" w:rsidRPr="000F10EA" w:rsidRDefault="000F10EA">
            <w:pPr>
              <w:rPr>
                <w:sz w:val="28"/>
                <w:szCs w:val="28"/>
                <w:highlight w:val="lightGray"/>
              </w:rPr>
            </w:pPr>
            <w:r w:rsidRPr="000F10EA">
              <w:rPr>
                <w:sz w:val="28"/>
                <w:szCs w:val="28"/>
                <w:highlight w:val="lightGray"/>
              </w:rPr>
              <w:t>SERVICE FEATURE</w:t>
            </w:r>
          </w:p>
        </w:tc>
        <w:tc>
          <w:tcPr>
            <w:tcW w:w="4788" w:type="dxa"/>
          </w:tcPr>
          <w:p w:rsidR="000F10EA" w:rsidRPr="000F10EA" w:rsidRDefault="000F10EA">
            <w:pPr>
              <w:rPr>
                <w:sz w:val="28"/>
                <w:szCs w:val="28"/>
              </w:rPr>
            </w:pPr>
            <w:r w:rsidRPr="000F10EA">
              <w:rPr>
                <w:sz w:val="28"/>
                <w:szCs w:val="28"/>
                <w:highlight w:val="lightGray"/>
              </w:rPr>
              <w:t>SERVICE OVERVIEW</w:t>
            </w:r>
          </w:p>
        </w:tc>
      </w:tr>
      <w:tr w:rsidR="000F10EA" w:rsidTr="000F10EA">
        <w:tc>
          <w:tcPr>
            <w:tcW w:w="4788" w:type="dxa"/>
          </w:tcPr>
          <w:p w:rsidR="000F10EA" w:rsidRPr="00927796" w:rsidRDefault="000F10EA">
            <w:pPr>
              <w:rPr>
                <w:color w:val="0070C0"/>
                <w:sz w:val="24"/>
                <w:szCs w:val="24"/>
              </w:rPr>
            </w:pPr>
            <w:r w:rsidRPr="00927796">
              <w:rPr>
                <w:color w:val="0070C0"/>
                <w:sz w:val="24"/>
                <w:szCs w:val="24"/>
              </w:rPr>
              <w:t>Face to Face sessions</w:t>
            </w:r>
            <w:r w:rsidR="00C96192" w:rsidRPr="00927796">
              <w:rPr>
                <w:color w:val="0070C0"/>
                <w:sz w:val="24"/>
                <w:szCs w:val="24"/>
              </w:rPr>
              <w:t xml:space="preserve"> (individual, couple, family)</w:t>
            </w:r>
            <w:r w:rsidR="00D1734D" w:rsidRPr="00927796">
              <w:rPr>
                <w:color w:val="0070C0"/>
                <w:sz w:val="24"/>
                <w:szCs w:val="24"/>
              </w:rPr>
              <w:t>.  Assessment, short-term problem</w:t>
            </w:r>
          </w:p>
          <w:p w:rsidR="00D1734D" w:rsidRPr="00927796" w:rsidRDefault="00D1734D">
            <w:pPr>
              <w:rPr>
                <w:color w:val="0070C0"/>
                <w:sz w:val="24"/>
                <w:szCs w:val="24"/>
              </w:rPr>
            </w:pPr>
            <w:r w:rsidRPr="00927796">
              <w:rPr>
                <w:color w:val="0070C0"/>
                <w:sz w:val="24"/>
                <w:szCs w:val="24"/>
              </w:rPr>
              <w:t>Resolution counseling.</w:t>
            </w:r>
          </w:p>
        </w:tc>
        <w:tc>
          <w:tcPr>
            <w:tcW w:w="4788" w:type="dxa"/>
          </w:tcPr>
          <w:p w:rsidR="000F10EA" w:rsidRPr="00927796" w:rsidRDefault="000F10EA">
            <w:pPr>
              <w:rPr>
                <w:color w:val="0070C0"/>
                <w:sz w:val="24"/>
                <w:szCs w:val="24"/>
              </w:rPr>
            </w:pPr>
            <w:r w:rsidRPr="00927796">
              <w:rPr>
                <w:color w:val="0070C0"/>
                <w:sz w:val="24"/>
                <w:szCs w:val="24"/>
              </w:rPr>
              <w:t>Up to 3 sessions of assessment, consultation and referral per presenting issue.  6 sessions available for additional costs.</w:t>
            </w:r>
          </w:p>
        </w:tc>
      </w:tr>
      <w:tr w:rsidR="000F10EA" w:rsidTr="000F10EA">
        <w:tc>
          <w:tcPr>
            <w:tcW w:w="4788" w:type="dxa"/>
          </w:tcPr>
          <w:p w:rsidR="000F10EA" w:rsidRPr="00927796" w:rsidRDefault="00D1734D">
            <w:pPr>
              <w:rPr>
                <w:color w:val="00B050"/>
                <w:sz w:val="24"/>
                <w:szCs w:val="24"/>
              </w:rPr>
            </w:pPr>
            <w:r w:rsidRPr="00927796">
              <w:rPr>
                <w:color w:val="00B050"/>
                <w:sz w:val="24"/>
                <w:szCs w:val="24"/>
              </w:rPr>
              <w:t>Referral Services</w:t>
            </w:r>
          </w:p>
        </w:tc>
        <w:tc>
          <w:tcPr>
            <w:tcW w:w="4788" w:type="dxa"/>
          </w:tcPr>
          <w:p w:rsidR="000F10EA" w:rsidRPr="00927796" w:rsidRDefault="00D1734D">
            <w:pPr>
              <w:rPr>
                <w:color w:val="00B050"/>
                <w:sz w:val="24"/>
                <w:szCs w:val="24"/>
              </w:rPr>
            </w:pPr>
            <w:r w:rsidRPr="00927796">
              <w:rPr>
                <w:color w:val="00B050"/>
                <w:sz w:val="24"/>
                <w:szCs w:val="24"/>
              </w:rPr>
              <w:t>Clinical referrals; outpatient, intensive outpatient, partial hospitalization, inpatient treatment.  Community Resource Referrals</w:t>
            </w:r>
          </w:p>
        </w:tc>
      </w:tr>
      <w:tr w:rsidR="000F10EA" w:rsidTr="000F10EA">
        <w:tc>
          <w:tcPr>
            <w:tcW w:w="4788" w:type="dxa"/>
          </w:tcPr>
          <w:p w:rsidR="000F10EA" w:rsidRPr="00927796" w:rsidRDefault="00D1734D">
            <w:pPr>
              <w:rPr>
                <w:color w:val="C0504D" w:themeColor="accent2"/>
                <w:sz w:val="24"/>
                <w:szCs w:val="24"/>
              </w:rPr>
            </w:pPr>
            <w:r w:rsidRPr="00927796">
              <w:rPr>
                <w:color w:val="C0504D" w:themeColor="accent2"/>
                <w:sz w:val="24"/>
                <w:szCs w:val="24"/>
              </w:rPr>
              <w:t>Conflict Resolution Services (individual and group)</w:t>
            </w:r>
          </w:p>
        </w:tc>
        <w:tc>
          <w:tcPr>
            <w:tcW w:w="4788" w:type="dxa"/>
          </w:tcPr>
          <w:p w:rsidR="000F10EA" w:rsidRPr="00927796" w:rsidRDefault="00D1734D">
            <w:pPr>
              <w:rPr>
                <w:color w:val="C0504D" w:themeColor="accent2"/>
                <w:sz w:val="24"/>
                <w:szCs w:val="24"/>
              </w:rPr>
            </w:pPr>
            <w:r w:rsidRPr="00927796">
              <w:rPr>
                <w:color w:val="C0504D" w:themeColor="accent2"/>
                <w:sz w:val="24"/>
                <w:szCs w:val="24"/>
              </w:rPr>
              <w:t>Work toward the short-term goal of resolving the conflict and the long term goal of how to manage future conflict in positive ways.</w:t>
            </w:r>
          </w:p>
        </w:tc>
      </w:tr>
      <w:tr w:rsidR="000F10EA" w:rsidTr="000F10EA">
        <w:tc>
          <w:tcPr>
            <w:tcW w:w="4788" w:type="dxa"/>
          </w:tcPr>
          <w:p w:rsidR="000F10EA" w:rsidRPr="00927796" w:rsidRDefault="00B21C75">
            <w:pPr>
              <w:rPr>
                <w:color w:val="E36C0A" w:themeColor="accent6" w:themeShade="BF"/>
                <w:sz w:val="24"/>
                <w:szCs w:val="24"/>
              </w:rPr>
            </w:pPr>
            <w:r w:rsidRPr="00927796">
              <w:rPr>
                <w:color w:val="E36C0A" w:themeColor="accent6" w:themeShade="BF"/>
                <w:sz w:val="24"/>
                <w:szCs w:val="24"/>
              </w:rPr>
              <w:t>Mediation Services</w:t>
            </w:r>
          </w:p>
        </w:tc>
        <w:tc>
          <w:tcPr>
            <w:tcW w:w="4788" w:type="dxa"/>
          </w:tcPr>
          <w:p w:rsidR="000F10EA" w:rsidRPr="00927796" w:rsidRDefault="00B21C75">
            <w:pPr>
              <w:rPr>
                <w:color w:val="E36C0A" w:themeColor="accent6" w:themeShade="BF"/>
                <w:sz w:val="24"/>
                <w:szCs w:val="24"/>
              </w:rPr>
            </w:pPr>
            <w:r w:rsidRPr="00927796">
              <w:rPr>
                <w:color w:val="E36C0A" w:themeColor="accent6" w:themeShade="BF"/>
                <w:sz w:val="24"/>
                <w:szCs w:val="24"/>
              </w:rPr>
              <w:t>Voluntary dispute resolution process in which the EAP assists the disputants.</w:t>
            </w:r>
          </w:p>
        </w:tc>
      </w:tr>
      <w:tr w:rsidR="000F10EA" w:rsidTr="000F10EA">
        <w:tc>
          <w:tcPr>
            <w:tcW w:w="4788" w:type="dxa"/>
          </w:tcPr>
          <w:p w:rsidR="000F10EA" w:rsidRPr="00927796" w:rsidRDefault="00B21C75">
            <w:pPr>
              <w:rPr>
                <w:color w:val="7030A0"/>
                <w:sz w:val="24"/>
                <w:szCs w:val="24"/>
              </w:rPr>
            </w:pPr>
            <w:r w:rsidRPr="00927796">
              <w:rPr>
                <w:color w:val="7030A0"/>
                <w:sz w:val="24"/>
                <w:szCs w:val="24"/>
              </w:rPr>
              <w:t>Critical Incident Stress Debriefing</w:t>
            </w:r>
          </w:p>
        </w:tc>
        <w:tc>
          <w:tcPr>
            <w:tcW w:w="4788" w:type="dxa"/>
          </w:tcPr>
          <w:p w:rsidR="000F10EA" w:rsidRPr="00927796" w:rsidRDefault="00B21C75">
            <w:pPr>
              <w:rPr>
                <w:color w:val="7030A0"/>
                <w:sz w:val="24"/>
                <w:szCs w:val="24"/>
              </w:rPr>
            </w:pPr>
            <w:r w:rsidRPr="00927796">
              <w:rPr>
                <w:color w:val="7030A0"/>
                <w:sz w:val="24"/>
                <w:szCs w:val="24"/>
              </w:rPr>
              <w:t>Provides services to employees who were involved in or who witnessed a critical incident.</w:t>
            </w:r>
          </w:p>
        </w:tc>
      </w:tr>
      <w:tr w:rsidR="000F10EA" w:rsidTr="000F10EA">
        <w:tc>
          <w:tcPr>
            <w:tcW w:w="4788" w:type="dxa"/>
          </w:tcPr>
          <w:p w:rsidR="000F10EA" w:rsidRPr="00927796" w:rsidRDefault="00F3631B">
            <w:pPr>
              <w:rPr>
                <w:color w:val="00B0F0"/>
                <w:sz w:val="24"/>
                <w:szCs w:val="24"/>
              </w:rPr>
            </w:pPr>
            <w:r w:rsidRPr="00927796">
              <w:rPr>
                <w:color w:val="00B0F0"/>
                <w:sz w:val="24"/>
                <w:szCs w:val="24"/>
              </w:rPr>
              <w:t>Corrective Action/Job Jeopardy</w:t>
            </w:r>
          </w:p>
        </w:tc>
        <w:tc>
          <w:tcPr>
            <w:tcW w:w="4788" w:type="dxa"/>
          </w:tcPr>
          <w:p w:rsidR="000F10EA" w:rsidRPr="00927796" w:rsidRDefault="00F3631B">
            <w:pPr>
              <w:rPr>
                <w:color w:val="00B0F0"/>
                <w:sz w:val="24"/>
                <w:szCs w:val="24"/>
              </w:rPr>
            </w:pPr>
            <w:r w:rsidRPr="00927796">
              <w:rPr>
                <w:color w:val="00B0F0"/>
                <w:sz w:val="24"/>
                <w:szCs w:val="24"/>
              </w:rPr>
              <w:t>Provides services to employees and management to clarify expectations, and work with the employee and manager to successfully resolve the workplace issue(s).</w:t>
            </w:r>
          </w:p>
        </w:tc>
      </w:tr>
      <w:tr w:rsidR="000F10EA" w:rsidTr="000F10EA">
        <w:tc>
          <w:tcPr>
            <w:tcW w:w="4788" w:type="dxa"/>
          </w:tcPr>
          <w:p w:rsidR="000F10EA" w:rsidRPr="00927796" w:rsidRDefault="00F3631B">
            <w:pPr>
              <w:rPr>
                <w:color w:val="FF0000"/>
                <w:sz w:val="24"/>
                <w:szCs w:val="24"/>
              </w:rPr>
            </w:pPr>
            <w:r w:rsidRPr="00927796">
              <w:rPr>
                <w:color w:val="FF0000"/>
                <w:sz w:val="24"/>
                <w:szCs w:val="24"/>
              </w:rPr>
              <w:t>Education Classes</w:t>
            </w:r>
            <w:r w:rsidR="00E46901">
              <w:rPr>
                <w:color w:val="FF0000"/>
                <w:sz w:val="24"/>
                <w:szCs w:val="24"/>
              </w:rPr>
              <w:t xml:space="preserve"> (individual and group)</w:t>
            </w:r>
          </w:p>
        </w:tc>
        <w:tc>
          <w:tcPr>
            <w:tcW w:w="4788" w:type="dxa"/>
          </w:tcPr>
          <w:p w:rsidR="00F3631B" w:rsidRPr="00927796" w:rsidRDefault="00F3631B">
            <w:pPr>
              <w:rPr>
                <w:color w:val="FF0000"/>
                <w:sz w:val="24"/>
                <w:szCs w:val="24"/>
              </w:rPr>
            </w:pPr>
            <w:r w:rsidRPr="00927796">
              <w:rPr>
                <w:color w:val="FF0000"/>
                <w:sz w:val="24"/>
                <w:szCs w:val="24"/>
              </w:rPr>
              <w:t>Provides general education programs for common workplace issues.</w:t>
            </w:r>
          </w:p>
        </w:tc>
      </w:tr>
      <w:tr w:rsidR="00914E7A" w:rsidTr="000F10EA">
        <w:tc>
          <w:tcPr>
            <w:tcW w:w="4788" w:type="dxa"/>
          </w:tcPr>
          <w:p w:rsidR="00914E7A" w:rsidRPr="00B738B2" w:rsidRDefault="002C3147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Organizational Liaison</w:t>
            </w:r>
          </w:p>
        </w:tc>
        <w:tc>
          <w:tcPr>
            <w:tcW w:w="4788" w:type="dxa"/>
          </w:tcPr>
          <w:p w:rsidR="00914E7A" w:rsidRPr="00B738B2" w:rsidRDefault="007F11A0" w:rsidP="002C3147">
            <w:pPr>
              <w:rPr>
                <w:color w:val="92D050"/>
                <w:sz w:val="24"/>
                <w:szCs w:val="24"/>
              </w:rPr>
            </w:pPr>
            <w:r w:rsidRPr="00B738B2">
              <w:rPr>
                <w:color w:val="92D050"/>
                <w:sz w:val="24"/>
                <w:szCs w:val="24"/>
              </w:rPr>
              <w:t xml:space="preserve">Provides </w:t>
            </w:r>
            <w:r w:rsidR="002C3147">
              <w:rPr>
                <w:color w:val="92D050"/>
                <w:sz w:val="24"/>
                <w:szCs w:val="24"/>
              </w:rPr>
              <w:t>support</w:t>
            </w:r>
            <w:r w:rsidRPr="00B738B2">
              <w:rPr>
                <w:color w:val="92D050"/>
                <w:sz w:val="24"/>
                <w:szCs w:val="24"/>
              </w:rPr>
              <w:t xml:space="preserve"> </w:t>
            </w:r>
            <w:r w:rsidR="002C3147">
              <w:rPr>
                <w:color w:val="92D050"/>
                <w:sz w:val="24"/>
                <w:szCs w:val="24"/>
              </w:rPr>
              <w:t>with CISM due to trauma in the workplace, reorganization, downsizing or mergers, and leadership support.</w:t>
            </w:r>
          </w:p>
        </w:tc>
      </w:tr>
      <w:tr w:rsidR="00914E7A" w:rsidTr="000F10EA">
        <w:tc>
          <w:tcPr>
            <w:tcW w:w="4788" w:type="dxa"/>
          </w:tcPr>
          <w:p w:rsidR="00914E7A" w:rsidRPr="00B738B2" w:rsidRDefault="007F11A0">
            <w:pPr>
              <w:rPr>
                <w:color w:val="948A54" w:themeColor="background2" w:themeShade="80"/>
                <w:sz w:val="24"/>
                <w:szCs w:val="24"/>
              </w:rPr>
            </w:pPr>
            <w:r w:rsidRPr="00B738B2">
              <w:rPr>
                <w:color w:val="948A54" w:themeColor="background2" w:themeShade="80"/>
                <w:sz w:val="24"/>
                <w:szCs w:val="24"/>
              </w:rPr>
              <w:t>EAP Quarterly Newsletter</w:t>
            </w:r>
          </w:p>
        </w:tc>
        <w:tc>
          <w:tcPr>
            <w:tcW w:w="4788" w:type="dxa"/>
          </w:tcPr>
          <w:p w:rsidR="00914E7A" w:rsidRPr="00B738B2" w:rsidRDefault="007F11A0">
            <w:pPr>
              <w:rPr>
                <w:color w:val="948A54" w:themeColor="background2" w:themeShade="80"/>
                <w:sz w:val="24"/>
                <w:szCs w:val="24"/>
              </w:rPr>
            </w:pPr>
            <w:r w:rsidRPr="00B738B2">
              <w:rPr>
                <w:color w:val="948A54" w:themeColor="background2" w:themeShade="80"/>
                <w:sz w:val="24"/>
                <w:szCs w:val="24"/>
              </w:rPr>
              <w:t>Provides tools and insight to help employees be successful in the workplace.</w:t>
            </w:r>
          </w:p>
        </w:tc>
      </w:tr>
      <w:tr w:rsidR="00914E7A" w:rsidTr="000F10EA">
        <w:tc>
          <w:tcPr>
            <w:tcW w:w="4788" w:type="dxa"/>
          </w:tcPr>
          <w:p w:rsidR="00914E7A" w:rsidRPr="00584DD5" w:rsidRDefault="007F11A0">
            <w:pPr>
              <w:rPr>
                <w:color w:val="FFC000"/>
                <w:sz w:val="24"/>
                <w:szCs w:val="24"/>
              </w:rPr>
            </w:pPr>
            <w:r w:rsidRPr="00584DD5">
              <w:rPr>
                <w:color w:val="FFC000"/>
                <w:sz w:val="24"/>
                <w:szCs w:val="24"/>
              </w:rPr>
              <w:t>EAP Quarterly Utilization Report</w:t>
            </w:r>
          </w:p>
        </w:tc>
        <w:tc>
          <w:tcPr>
            <w:tcW w:w="4788" w:type="dxa"/>
          </w:tcPr>
          <w:p w:rsidR="00914E7A" w:rsidRPr="00584DD5" w:rsidRDefault="007F11A0">
            <w:pPr>
              <w:rPr>
                <w:color w:val="FFC000"/>
                <w:sz w:val="24"/>
                <w:szCs w:val="24"/>
              </w:rPr>
            </w:pPr>
            <w:r w:rsidRPr="00584DD5">
              <w:rPr>
                <w:color w:val="FFC000"/>
                <w:sz w:val="24"/>
                <w:szCs w:val="24"/>
              </w:rPr>
              <w:t>Provides utilization report of activity</w:t>
            </w:r>
          </w:p>
        </w:tc>
      </w:tr>
      <w:tr w:rsidR="00914E7A" w:rsidTr="000F10EA">
        <w:tc>
          <w:tcPr>
            <w:tcW w:w="4788" w:type="dxa"/>
          </w:tcPr>
          <w:p w:rsidR="00914E7A" w:rsidRDefault="007F1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EAP Confidentiality</w:t>
            </w:r>
          </w:p>
        </w:tc>
        <w:tc>
          <w:tcPr>
            <w:tcW w:w="4788" w:type="dxa"/>
          </w:tcPr>
          <w:p w:rsidR="00914E7A" w:rsidRDefault="007F11A0" w:rsidP="007F1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Appointments are conducted with complete client confidentiality and highest level of respect.</w:t>
            </w:r>
          </w:p>
        </w:tc>
      </w:tr>
    </w:tbl>
    <w:p w:rsidR="00E46901" w:rsidRPr="0093612C" w:rsidRDefault="00E46901" w:rsidP="0093612C">
      <w:pPr>
        <w:spacing w:after="0"/>
        <w:rPr>
          <w:sz w:val="24"/>
          <w:szCs w:val="24"/>
        </w:rPr>
      </w:pPr>
    </w:p>
    <w:p w:rsidR="00E46901" w:rsidRPr="00E46901" w:rsidRDefault="00E46901" w:rsidP="00E46901">
      <w:pPr>
        <w:rPr>
          <w:sz w:val="24"/>
          <w:szCs w:val="24"/>
        </w:rPr>
      </w:pPr>
      <w:r w:rsidRPr="00E46901">
        <w:rPr>
          <w:sz w:val="24"/>
          <w:szCs w:val="24"/>
        </w:rPr>
        <w:t>SAP/DOT Services</w:t>
      </w:r>
      <w:r w:rsidR="00901935">
        <w:rPr>
          <w:sz w:val="24"/>
          <w:szCs w:val="24"/>
        </w:rPr>
        <w:t>:</w:t>
      </w:r>
      <w:r w:rsidR="00567950">
        <w:rPr>
          <w:sz w:val="24"/>
          <w:szCs w:val="24"/>
        </w:rPr>
        <w:t xml:space="preserve">   This is a separate service from the Employee Assistance Program.  There is no extra cost to the employer.  There is a charge for the employee as set down by the Federal Guidelines and Department of Transportation</w:t>
      </w:r>
      <w:r w:rsidR="00B177D2">
        <w:rPr>
          <w:sz w:val="24"/>
          <w:szCs w:val="24"/>
        </w:rPr>
        <w:t xml:space="preserve"> (DOT) regulation.  This program is for employees who test positive for alcohol and drugs.  The role of the SAP is to protect the public, provide a </w:t>
      </w:r>
      <w:r w:rsidR="00B177D2">
        <w:rPr>
          <w:sz w:val="24"/>
          <w:szCs w:val="24"/>
        </w:rPr>
        <w:lastRenderedPageBreak/>
        <w:t>clinical assessment and referral to the level of assistance the employee needs to resolve problems associated with alcohol use or prohibited drug use.</w:t>
      </w:r>
      <w:r w:rsidR="0093612C">
        <w:rPr>
          <w:sz w:val="24"/>
          <w:szCs w:val="24"/>
        </w:rPr>
        <w:t xml:space="preserve">  SAP’s provide develop and follow up testing plan for the employee returning to work, following successful compliance with the SAP program and treatment</w:t>
      </w:r>
      <w:r w:rsidR="00901935">
        <w:rPr>
          <w:sz w:val="24"/>
          <w:szCs w:val="24"/>
        </w:rPr>
        <w:t xml:space="preserve"> recommendations.</w:t>
      </w:r>
      <w:bookmarkStart w:id="0" w:name="_GoBack"/>
      <w:bookmarkEnd w:id="0"/>
    </w:p>
    <w:sectPr w:rsidR="00E46901" w:rsidRPr="00E46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0EA"/>
    <w:rsid w:val="000F10EA"/>
    <w:rsid w:val="00133CB3"/>
    <w:rsid w:val="002C3147"/>
    <w:rsid w:val="00437792"/>
    <w:rsid w:val="00541020"/>
    <w:rsid w:val="00567950"/>
    <w:rsid w:val="00584DD5"/>
    <w:rsid w:val="00621F78"/>
    <w:rsid w:val="006C3DD1"/>
    <w:rsid w:val="007F11A0"/>
    <w:rsid w:val="00901935"/>
    <w:rsid w:val="00914E7A"/>
    <w:rsid w:val="00927796"/>
    <w:rsid w:val="0093612C"/>
    <w:rsid w:val="00B177D2"/>
    <w:rsid w:val="00B21C75"/>
    <w:rsid w:val="00B738B2"/>
    <w:rsid w:val="00C57832"/>
    <w:rsid w:val="00C807AA"/>
    <w:rsid w:val="00C96192"/>
    <w:rsid w:val="00D1734D"/>
    <w:rsid w:val="00E42232"/>
    <w:rsid w:val="00E46901"/>
    <w:rsid w:val="00F3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0E051DE2"/>
  <w15:docId w15:val="{3E4A98B4-A59D-4BE8-AD43-80942938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Human Services, Inc.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Rogers</dc:creator>
  <cp:lastModifiedBy>Cheryl Rogers</cp:lastModifiedBy>
  <cp:revision>7</cp:revision>
  <cp:lastPrinted>2018-08-14T19:15:00Z</cp:lastPrinted>
  <dcterms:created xsi:type="dcterms:W3CDTF">2018-08-15T14:44:00Z</dcterms:created>
  <dcterms:modified xsi:type="dcterms:W3CDTF">2020-09-14T19:30:00Z</dcterms:modified>
</cp:coreProperties>
</file>