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10818" w:type="dxa"/>
        <w:tblLook w:val="01E0" w:firstRow="1" w:lastRow="1" w:firstColumn="1" w:lastColumn="1" w:noHBand="0" w:noVBand="0"/>
      </w:tblPr>
      <w:tblGrid>
        <w:gridCol w:w="3168"/>
        <w:gridCol w:w="7650"/>
      </w:tblGrid>
      <w:tr w:rsidR="00467D0D" w:rsidTr="00F54082">
        <w:tc>
          <w:tcPr>
            <w:tcW w:w="3168" w:type="dxa"/>
            <w:shd w:val="clear" w:color="auto" w:fill="003399"/>
          </w:tcPr>
          <w:p w:rsidR="00467D0D" w:rsidRDefault="00467D0D" w:rsidP="00F54082">
            <w:pPr>
              <w:pStyle w:val="BodyText"/>
            </w:pPr>
            <w:bookmarkStart w:id="0" w:name="_GoBack"/>
            <w:bookmarkEnd w:id="0"/>
          </w:p>
        </w:tc>
        <w:tc>
          <w:tcPr>
            <w:tcW w:w="7650" w:type="dxa"/>
            <w:shd w:val="clear" w:color="auto" w:fill="003399"/>
          </w:tcPr>
          <w:p w:rsidR="00467D0D" w:rsidRDefault="00467D0D" w:rsidP="00F54082">
            <w:pPr>
              <w:pStyle w:val="BodyText"/>
            </w:pPr>
          </w:p>
        </w:tc>
      </w:tr>
      <w:tr w:rsidR="00467D0D" w:rsidTr="00F54082">
        <w:trPr>
          <w:trHeight w:val="1440"/>
        </w:trPr>
        <w:tc>
          <w:tcPr>
            <w:tcW w:w="3168" w:type="dxa"/>
            <w:vAlign w:val="center"/>
          </w:tcPr>
          <w:p w:rsidR="00467D0D" w:rsidRDefault="0082379F" w:rsidP="00F54082">
            <w:pPr>
              <w:pStyle w:val="NewsletterTitle"/>
            </w:pPr>
            <w:r>
              <w:rPr>
                <w:noProof/>
              </w:rPr>
              <w:drawing>
                <wp:anchor distT="0" distB="0" distL="114300" distR="114300" simplePos="0" relativeHeight="251658240" behindDoc="0" locked="0" layoutInCell="1" allowOverlap="1" wp14:anchorId="37BD6DF7" wp14:editId="793072D2">
                  <wp:simplePos x="0" y="0"/>
                  <wp:positionH relativeFrom="column">
                    <wp:posOffset>426720</wp:posOffset>
                  </wp:positionH>
                  <wp:positionV relativeFrom="paragraph">
                    <wp:posOffset>17145</wp:posOffset>
                  </wp:positionV>
                  <wp:extent cx="684530" cy="877570"/>
                  <wp:effectExtent l="0" t="0" r="1270" b="0"/>
                  <wp:wrapNone/>
                  <wp:docPr id="7" name="Picture 7" descr="S:\All Staff Info\Logos\CHS Logo n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l Staff Info\Logos\CHS Logo noty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53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inline distT="0" distB="0" distL="0" distR="0" wp14:anchorId="52B1D72D" wp14:editId="0B98C0FA">
                      <wp:extent cx="828675" cy="420370"/>
                      <wp:effectExtent l="0" t="2540" r="4445"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9F" w:rsidRDefault="0082379F">
                                    <w:r>
                                      <w:rPr>
                                        <w:color w:val="000000"/>
                                      </w:rPr>
                                      <w:t xml:space="preserve"> </w:t>
                                    </w:r>
                                  </w:p>
                                </w:txbxContent>
                              </wps:txbx>
                              <wps:bodyPr rot="0" vert="horz" wrap="none" lIns="0" tIns="0" rIns="0" bIns="0" anchor="t" anchorCtr="0">
                                <a:spAutoFit/>
                              </wps:bodyPr>
                            </wps:wsp>
                          </wpc:wpc>
                        </a:graphicData>
                      </a:graphic>
                    </wp:inline>
                  </w:drawing>
                </mc:Choice>
                <mc:Fallback>
                  <w:pict>
                    <v:group w14:anchorId="52B1D72D" id="Canvas 4" o:spid="_x0000_s1026" editas="canvas" style="width:65.25pt;height:33.1pt;mso-position-horizontal-relative:char;mso-position-vertical-relative:line" coordsize="828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">
                      <v:shape id="_x0000_s1027" type="#_x0000_t75" style="position:absolute;width:8286;height:4203;visibility:visible;mso-wrap-style:square">
                        <v:fill o:detectmouseclick="t"/>
                        <v:path o:connecttype="none"/>
                      </v:shape>
                      <v:rect id="Rectangle 5" o:spid="_x0000_s1028" style="position:absolute;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82379F" w:rsidRDefault="0082379F">
                              <w:r>
                                <w:rPr>
                                  <w:color w:val="000000"/>
                                </w:rPr>
                                <w:t xml:space="preserve"> </w:t>
                              </w:r>
                            </w:p>
                          </w:txbxContent>
                        </v:textbox>
                      </v:rect>
                      <w10:anchorlock/>
                    </v:group>
                  </w:pict>
                </mc:Fallback>
              </mc:AlternateContent>
            </w:r>
          </w:p>
        </w:tc>
        <w:tc>
          <w:tcPr>
            <w:tcW w:w="7650" w:type="dxa"/>
            <w:vAlign w:val="center"/>
          </w:tcPr>
          <w:p w:rsidR="00467D0D" w:rsidRPr="009F78DD" w:rsidRDefault="0082379F" w:rsidP="00F54082">
            <w:pPr>
              <w:pStyle w:val="NewsletterTitle"/>
              <w:rPr>
                <w:sz w:val="44"/>
                <w:szCs w:val="44"/>
              </w:rPr>
            </w:pPr>
            <w:r w:rsidRPr="009F78DD">
              <w:rPr>
                <w:sz w:val="44"/>
                <w:szCs w:val="44"/>
              </w:rPr>
              <w:t>Catholic Human Services Employee Assistance Program</w:t>
            </w:r>
            <w:r w:rsidR="009F78DD" w:rsidRPr="009F78DD">
              <w:rPr>
                <w:sz w:val="44"/>
                <w:szCs w:val="44"/>
              </w:rPr>
              <w:t xml:space="preserve"> Newsletter</w:t>
            </w:r>
          </w:p>
        </w:tc>
      </w:tr>
      <w:tr w:rsidR="00467D0D" w:rsidTr="00F54082">
        <w:tc>
          <w:tcPr>
            <w:tcW w:w="3168" w:type="dxa"/>
            <w:shd w:val="clear" w:color="auto" w:fill="003399"/>
          </w:tcPr>
          <w:p w:rsidR="00467D0D" w:rsidRPr="00467D0D" w:rsidRDefault="003D2281" w:rsidP="00F54082">
            <w:pPr>
              <w:pStyle w:val="NewsletterDate"/>
              <w:ind w:right="-1457"/>
            </w:pPr>
            <w:r>
              <w:t>March</w:t>
            </w:r>
            <w:r w:rsidR="0082379F">
              <w:t xml:space="preserve"> Quarterly Newsletter</w:t>
            </w:r>
          </w:p>
        </w:tc>
        <w:tc>
          <w:tcPr>
            <w:tcW w:w="7650" w:type="dxa"/>
            <w:shd w:val="clear" w:color="auto" w:fill="003399"/>
          </w:tcPr>
          <w:p w:rsidR="00467D0D" w:rsidRDefault="00467D0D" w:rsidP="00F54082">
            <w:pPr>
              <w:pStyle w:val="VolumeandIssue"/>
              <w:jc w:val="left"/>
            </w:pPr>
          </w:p>
        </w:tc>
      </w:tr>
      <w:tr w:rsidR="008E395A" w:rsidTr="00F54082">
        <w:tc>
          <w:tcPr>
            <w:tcW w:w="3168" w:type="dxa"/>
            <w:shd w:val="clear" w:color="auto" w:fill="0066CC"/>
          </w:tcPr>
          <w:p w:rsidR="008E395A" w:rsidRDefault="008E395A" w:rsidP="00F54082">
            <w:pPr>
              <w:pStyle w:val="TableofContentsHeading"/>
            </w:pPr>
            <w:r>
              <w:t>In This Issue</w:t>
            </w:r>
          </w:p>
          <w:p w:rsidR="003F4F4E" w:rsidRDefault="003F4F4E" w:rsidP="00F54082">
            <w:pPr>
              <w:pStyle w:val="TableofContentsHeading"/>
              <w:rPr>
                <w:sz w:val="24"/>
                <w:szCs w:val="24"/>
              </w:rPr>
            </w:pPr>
            <w:r>
              <w:rPr>
                <w:sz w:val="24"/>
                <w:szCs w:val="24"/>
              </w:rPr>
              <w:t>Ending the Toxic 2-Step</w:t>
            </w:r>
          </w:p>
          <w:p w:rsidR="009C117F" w:rsidRDefault="009C117F" w:rsidP="00F54082">
            <w:pPr>
              <w:pStyle w:val="TableofContentsHeading"/>
              <w:rPr>
                <w:sz w:val="24"/>
                <w:szCs w:val="24"/>
              </w:rPr>
            </w:pPr>
            <w:r>
              <w:rPr>
                <w:sz w:val="24"/>
                <w:szCs w:val="24"/>
              </w:rPr>
              <w:t>How to Succeed in the World by Really Trying</w:t>
            </w:r>
          </w:p>
          <w:p w:rsidR="00F45098" w:rsidRDefault="00F45098" w:rsidP="00F54082">
            <w:pPr>
              <w:pStyle w:val="TableofContentsHeading"/>
              <w:rPr>
                <w:sz w:val="24"/>
                <w:szCs w:val="24"/>
              </w:rPr>
            </w:pPr>
            <w:r>
              <w:rPr>
                <w:sz w:val="24"/>
                <w:szCs w:val="24"/>
              </w:rPr>
              <w:t>Sit..Wait..Think..And Act When Correct</w:t>
            </w:r>
          </w:p>
          <w:p w:rsidR="00F45098" w:rsidRDefault="00F45098" w:rsidP="00F54082">
            <w:pPr>
              <w:pStyle w:val="TableofContentsHeading"/>
              <w:rPr>
                <w:sz w:val="24"/>
                <w:szCs w:val="24"/>
              </w:rPr>
            </w:pPr>
            <w:r>
              <w:rPr>
                <w:sz w:val="24"/>
                <w:szCs w:val="24"/>
              </w:rPr>
              <w:t>Learning from Crayons</w:t>
            </w:r>
          </w:p>
          <w:p w:rsidR="002C25E2" w:rsidRDefault="002C25E2" w:rsidP="00F54082">
            <w:pPr>
              <w:pStyle w:val="TableofContentsHeading"/>
              <w:rPr>
                <w:sz w:val="24"/>
                <w:szCs w:val="24"/>
              </w:rPr>
            </w:pPr>
          </w:p>
          <w:p w:rsidR="00B63A4A" w:rsidRPr="003F4F4E" w:rsidRDefault="00F35249" w:rsidP="00F54082">
            <w:pPr>
              <w:pStyle w:val="TableofContentsHeading"/>
              <w:rPr>
                <w:sz w:val="24"/>
                <w:szCs w:val="24"/>
              </w:rPr>
            </w:pPr>
            <w:r>
              <w:rPr>
                <w:noProof/>
                <w:sz w:val="24"/>
                <w:szCs w:val="24"/>
              </w:rPr>
              <w:drawing>
                <wp:inline distT="0" distB="0" distL="0" distR="0" wp14:anchorId="7E2FF24F" wp14:editId="106FC972">
                  <wp:extent cx="1524000" cy="1143000"/>
                  <wp:effectExtent l="0" t="0" r="0" b="0"/>
                  <wp:docPr id="13" name="Picture 13" descr="Z:\Users\crogers\AppData\Local\Microsoft\Windows\Temporary Internet Files\Content.IE5\HQ46ZFZ1\kindn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Users\crogers\AppData\Local\Microsoft\Windows\Temporary Internet Files\Content.IE5\HQ46ZFZ1\kindnes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8E395A" w:rsidRDefault="008E395A" w:rsidP="00F54082">
            <w:pPr>
              <w:pStyle w:val="TableofContentsEntry"/>
              <w:numPr>
                <w:ilvl w:val="0"/>
                <w:numId w:val="0"/>
              </w:numPr>
              <w:ind w:left="216"/>
            </w:pPr>
          </w:p>
          <w:p w:rsidR="0082379F" w:rsidRDefault="00C56BED" w:rsidP="00F54082">
            <w:pPr>
              <w:pStyle w:val="SideBarHeading"/>
            </w:pPr>
            <w:r>
              <w:t>We are committed to Employees, Building a Collaborative Environment, Promoting Dialogue &amp; Implementing Solutions</w:t>
            </w:r>
          </w:p>
          <w:p w:rsidR="0082379F" w:rsidRDefault="0082379F" w:rsidP="00F54082">
            <w:pPr>
              <w:pStyle w:val="SideBarHeading"/>
            </w:pPr>
          </w:p>
          <w:p w:rsidR="008E395A" w:rsidRDefault="008E395A" w:rsidP="00F54082">
            <w:pPr>
              <w:pStyle w:val="SideBarHeading"/>
            </w:pPr>
            <w:r>
              <w:t>Contact Us</w:t>
            </w:r>
          </w:p>
          <w:p w:rsidR="008E395A" w:rsidRDefault="00667A20" w:rsidP="00F54082">
            <w:pPr>
              <w:pStyle w:val="Links"/>
              <w:rPr>
                <w:rStyle w:val="Hyperlink"/>
              </w:rPr>
            </w:pPr>
            <w:r>
              <w:rPr>
                <w:rStyle w:val="Hyperlink"/>
              </w:rPr>
              <w:t>Catholic Human Services EAP Program</w:t>
            </w:r>
          </w:p>
          <w:p w:rsidR="00667A20" w:rsidRDefault="00667A20" w:rsidP="00F54082">
            <w:pPr>
              <w:pStyle w:val="Links"/>
              <w:rPr>
                <w:rStyle w:val="Hyperlink"/>
              </w:rPr>
            </w:pPr>
            <w:r>
              <w:rPr>
                <w:rStyle w:val="Hyperlink"/>
              </w:rPr>
              <w:t>(231) 947-8387</w:t>
            </w:r>
          </w:p>
          <w:p w:rsidR="008E395A" w:rsidRDefault="00C56BED" w:rsidP="00F54082">
            <w:pPr>
              <w:pStyle w:val="Links"/>
              <w:rPr>
                <w:rStyle w:val="Hyperlink"/>
              </w:rPr>
            </w:pPr>
            <w:r>
              <w:rPr>
                <w:rStyle w:val="Hyperlink"/>
              </w:rPr>
              <w:t>We welcome your inquiries.</w:t>
            </w:r>
          </w:p>
          <w:p w:rsidR="00F54082" w:rsidRDefault="00F54082" w:rsidP="00F54082">
            <w:pPr>
              <w:pStyle w:val="Links"/>
              <w:rPr>
                <w:rStyle w:val="Hyperlink"/>
              </w:rPr>
            </w:pPr>
          </w:p>
          <w:p w:rsidR="00F54082" w:rsidRDefault="00F54082" w:rsidP="00F54082">
            <w:pPr>
              <w:pStyle w:val="Links"/>
              <w:rPr>
                <w:rStyle w:val="Hyperlink"/>
              </w:rPr>
            </w:pPr>
          </w:p>
          <w:p w:rsidR="00F54082" w:rsidRDefault="00F54082" w:rsidP="00F54082">
            <w:pPr>
              <w:pStyle w:val="Links"/>
              <w:rPr>
                <w:rStyle w:val="Hyperlink"/>
              </w:rPr>
            </w:pPr>
          </w:p>
          <w:p w:rsidR="00F54082" w:rsidRDefault="00F54082" w:rsidP="00F54082">
            <w:pPr>
              <w:pStyle w:val="Links"/>
              <w:rPr>
                <w:rStyle w:val="Hyperlink"/>
              </w:rPr>
            </w:pPr>
          </w:p>
          <w:p w:rsidR="00F54082" w:rsidRDefault="00F54082" w:rsidP="00F54082">
            <w:pPr>
              <w:pStyle w:val="Links"/>
              <w:rPr>
                <w:rStyle w:val="Hyperlink"/>
              </w:rPr>
            </w:pPr>
          </w:p>
          <w:p w:rsidR="00F54082" w:rsidRDefault="00F54082" w:rsidP="00F54082">
            <w:pPr>
              <w:pStyle w:val="Links"/>
              <w:rPr>
                <w:rStyle w:val="Hyperlink"/>
              </w:rPr>
            </w:pPr>
          </w:p>
          <w:p w:rsidR="00F54082" w:rsidRDefault="00F54082" w:rsidP="00F54082">
            <w:pPr>
              <w:pStyle w:val="Links"/>
              <w:rPr>
                <w:rStyle w:val="Hyperlink"/>
              </w:rPr>
            </w:pPr>
          </w:p>
          <w:p w:rsidR="00F54082" w:rsidRDefault="00F54082" w:rsidP="00F54082">
            <w:pPr>
              <w:pStyle w:val="Links"/>
              <w:rPr>
                <w:rStyle w:val="Hyperlink"/>
              </w:rPr>
            </w:pPr>
          </w:p>
          <w:p w:rsidR="00F54082" w:rsidRDefault="00F54082" w:rsidP="00F54082">
            <w:pPr>
              <w:pStyle w:val="Links"/>
              <w:rPr>
                <w:rStyle w:val="Hyperlink"/>
              </w:rPr>
            </w:pPr>
            <w:r>
              <w:rPr>
                <w:rStyle w:val="Hyperlink"/>
              </w:rPr>
              <w:t>Keep my words positive.</w:t>
            </w:r>
          </w:p>
          <w:p w:rsidR="00F54082" w:rsidRDefault="00F54082" w:rsidP="00F54082">
            <w:pPr>
              <w:pStyle w:val="Links"/>
              <w:rPr>
                <w:rStyle w:val="Hyperlink"/>
              </w:rPr>
            </w:pPr>
            <w:r>
              <w:rPr>
                <w:rStyle w:val="Hyperlink"/>
              </w:rPr>
              <w:t>For words become my behaviors.</w:t>
            </w:r>
          </w:p>
          <w:p w:rsidR="00F54082" w:rsidRDefault="00F54082" w:rsidP="00F54082">
            <w:pPr>
              <w:pStyle w:val="Links"/>
              <w:rPr>
                <w:rStyle w:val="Hyperlink"/>
              </w:rPr>
            </w:pPr>
            <w:r>
              <w:rPr>
                <w:rStyle w:val="Hyperlink"/>
              </w:rPr>
              <w:t>Keep my behaviors positive.</w:t>
            </w:r>
          </w:p>
          <w:p w:rsidR="00F54082" w:rsidRDefault="00F54082" w:rsidP="00F54082">
            <w:pPr>
              <w:pStyle w:val="Links"/>
              <w:rPr>
                <w:rStyle w:val="Hyperlink"/>
              </w:rPr>
            </w:pPr>
            <w:r>
              <w:rPr>
                <w:rStyle w:val="Hyperlink"/>
              </w:rPr>
              <w:t>For behaviors become my habits.</w:t>
            </w:r>
          </w:p>
          <w:p w:rsidR="00F54082" w:rsidRDefault="00F54082" w:rsidP="00F54082">
            <w:pPr>
              <w:pStyle w:val="Links"/>
              <w:rPr>
                <w:rStyle w:val="Hyperlink"/>
              </w:rPr>
            </w:pPr>
            <w:r>
              <w:rPr>
                <w:rStyle w:val="Hyperlink"/>
              </w:rPr>
              <w:t>Keep my habits positive.</w:t>
            </w:r>
          </w:p>
          <w:p w:rsidR="00F54082" w:rsidRDefault="00F54082" w:rsidP="00F54082">
            <w:pPr>
              <w:pStyle w:val="Links"/>
              <w:rPr>
                <w:rStyle w:val="Hyperlink"/>
              </w:rPr>
            </w:pPr>
            <w:r>
              <w:rPr>
                <w:rStyle w:val="Hyperlink"/>
              </w:rPr>
              <w:t>For habits become my values.</w:t>
            </w:r>
          </w:p>
          <w:p w:rsidR="00F54082" w:rsidRDefault="00F54082" w:rsidP="00F54082">
            <w:pPr>
              <w:pStyle w:val="Links"/>
              <w:rPr>
                <w:rStyle w:val="Hyperlink"/>
              </w:rPr>
            </w:pPr>
            <w:r>
              <w:rPr>
                <w:rStyle w:val="Hyperlink"/>
              </w:rPr>
              <w:t xml:space="preserve">Keep my values positive. </w:t>
            </w:r>
          </w:p>
          <w:p w:rsidR="00F54082" w:rsidRDefault="00F54082" w:rsidP="00F54082">
            <w:pPr>
              <w:pStyle w:val="Links"/>
              <w:rPr>
                <w:rStyle w:val="Hyperlink"/>
              </w:rPr>
            </w:pPr>
            <w:r>
              <w:rPr>
                <w:rStyle w:val="Hyperlink"/>
              </w:rPr>
              <w:t>For values become my destiny.</w:t>
            </w:r>
          </w:p>
          <w:p w:rsidR="00F54082" w:rsidRDefault="00F54082" w:rsidP="00F54082">
            <w:pPr>
              <w:pStyle w:val="Links"/>
              <w:rPr>
                <w:rStyle w:val="Hyperlink"/>
              </w:rPr>
            </w:pPr>
            <w:r>
              <w:rPr>
                <w:rStyle w:val="Hyperlink"/>
              </w:rPr>
              <w:t xml:space="preserve">                ----Ghandi</w:t>
            </w:r>
          </w:p>
          <w:p w:rsidR="00F54082" w:rsidRPr="002D08DA" w:rsidRDefault="00F54082" w:rsidP="00F54082">
            <w:pPr>
              <w:pStyle w:val="Links"/>
              <w:rPr>
                <w:rStyle w:val="Hyperlink"/>
              </w:rPr>
            </w:pPr>
          </w:p>
        </w:tc>
        <w:tc>
          <w:tcPr>
            <w:tcW w:w="7650" w:type="dxa"/>
          </w:tcPr>
          <w:tbl>
            <w:tblPr>
              <w:tblW w:w="0" w:type="auto"/>
              <w:tblCellMar>
                <w:left w:w="115" w:type="dxa"/>
                <w:right w:w="86" w:type="dxa"/>
              </w:tblCellMar>
              <w:tblLook w:val="01E0" w:firstRow="1" w:lastRow="1" w:firstColumn="1" w:lastColumn="1" w:noHBand="0" w:noVBand="0"/>
            </w:tblPr>
            <w:tblGrid>
              <w:gridCol w:w="7227"/>
              <w:gridCol w:w="207"/>
            </w:tblGrid>
            <w:tr w:rsidR="00D90FE0" w:rsidTr="003216CF">
              <w:tc>
                <w:tcPr>
                  <w:tcW w:w="0" w:type="auto"/>
                </w:tcPr>
                <w:p w:rsidR="00BA3C57" w:rsidRDefault="000C042B" w:rsidP="00A6390F">
                  <w:pPr>
                    <w:pStyle w:val="BodyText"/>
                    <w:framePr w:hSpace="180" w:wrap="around" w:vAnchor="text" w:hAnchor="text" w:xAlign="right" w:y="1"/>
                    <w:suppressOverlap/>
                    <w:rPr>
                      <w:b/>
                      <w:color w:val="0070C0"/>
                      <w:u w:val="single"/>
                    </w:rPr>
                  </w:pPr>
                  <w:r>
                    <w:rPr>
                      <w:b/>
                      <w:color w:val="0070C0"/>
                      <w:u w:val="single"/>
                    </w:rPr>
                    <w:lastRenderedPageBreak/>
                    <w:t>E</w:t>
                  </w:r>
                  <w:r w:rsidR="00830F4D">
                    <w:rPr>
                      <w:b/>
                      <w:color w:val="0070C0"/>
                      <w:u w:val="single"/>
                    </w:rPr>
                    <w:t>NDING</w:t>
                  </w:r>
                  <w:r>
                    <w:rPr>
                      <w:b/>
                      <w:color w:val="0070C0"/>
                      <w:u w:val="single"/>
                    </w:rPr>
                    <w:t xml:space="preserve"> </w:t>
                  </w:r>
                  <w:r w:rsidR="00830F4D">
                    <w:rPr>
                      <w:b/>
                      <w:color w:val="0070C0"/>
                      <w:u w:val="single"/>
                    </w:rPr>
                    <w:t>THE</w:t>
                  </w:r>
                  <w:r>
                    <w:rPr>
                      <w:b/>
                      <w:color w:val="0070C0"/>
                      <w:u w:val="single"/>
                    </w:rPr>
                    <w:t xml:space="preserve"> </w:t>
                  </w:r>
                  <w:r w:rsidR="00D90FE0">
                    <w:rPr>
                      <w:b/>
                      <w:color w:val="0070C0"/>
                      <w:u w:val="single"/>
                    </w:rPr>
                    <w:t>T</w:t>
                  </w:r>
                  <w:r w:rsidR="00830F4D">
                    <w:rPr>
                      <w:b/>
                      <w:color w:val="0070C0"/>
                      <w:u w:val="single"/>
                    </w:rPr>
                    <w:t>OXIC</w:t>
                  </w:r>
                  <w:r>
                    <w:rPr>
                      <w:b/>
                      <w:color w:val="0070C0"/>
                      <w:u w:val="single"/>
                    </w:rPr>
                    <w:t xml:space="preserve"> 2-</w:t>
                  </w:r>
                  <w:r w:rsidR="00830F4D">
                    <w:rPr>
                      <w:b/>
                      <w:color w:val="0070C0"/>
                      <w:u w:val="single"/>
                    </w:rPr>
                    <w:t>STEP</w:t>
                  </w:r>
                </w:p>
                <w:p w:rsidR="003F4F4E" w:rsidRDefault="00830F4D" w:rsidP="00A6390F">
                  <w:pPr>
                    <w:pStyle w:val="BodyText"/>
                    <w:framePr w:hSpace="180" w:wrap="around" w:vAnchor="text" w:hAnchor="text" w:xAlign="right" w:y="1"/>
                    <w:spacing w:after="0"/>
                    <w:suppressOverlap/>
                  </w:pPr>
                  <w:r>
                    <w:t xml:space="preserve">If you don’t engage in dysfunctional one-on-ones, you </w:t>
                  </w:r>
                </w:p>
                <w:p w:rsidR="003F4F4E" w:rsidRDefault="003F4F4E" w:rsidP="00A6390F">
                  <w:pPr>
                    <w:pStyle w:val="BodyText"/>
                    <w:framePr w:hSpace="180" w:wrap="around" w:vAnchor="text" w:hAnchor="text" w:xAlign="right" w:y="1"/>
                    <w:spacing w:after="0"/>
                    <w:suppressOverlap/>
                  </w:pPr>
                  <w:r>
                    <w:t>might have coworkers who do.  You know from</w:t>
                  </w:r>
                </w:p>
                <w:p w:rsidR="003F4F4E" w:rsidRDefault="003F4F4E" w:rsidP="00A6390F">
                  <w:pPr>
                    <w:pStyle w:val="BodyText"/>
                    <w:framePr w:hSpace="180" w:wrap="around" w:vAnchor="text" w:hAnchor="text" w:xAlign="right" w:y="1"/>
                    <w:spacing w:after="0"/>
                    <w:suppressOverlap/>
                  </w:pPr>
                  <w:r>
                    <w:t>experience how they can drag down the collective</w:t>
                  </w:r>
                </w:p>
                <w:p w:rsidR="003F4F4E" w:rsidRDefault="003F4F4E" w:rsidP="00A6390F">
                  <w:pPr>
                    <w:pStyle w:val="BodyText"/>
                    <w:framePr w:hSpace="180" w:wrap="around" w:vAnchor="text" w:hAnchor="text" w:xAlign="right" w:y="1"/>
                    <w:spacing w:after="0"/>
                    <w:suppressOverlap/>
                  </w:pPr>
                  <w:r>
                    <w:t>mood of the workplace.  What can you do?</w:t>
                  </w:r>
                </w:p>
                <w:p w:rsidR="00991314" w:rsidRDefault="00991314" w:rsidP="00A6390F">
                  <w:pPr>
                    <w:pStyle w:val="BodyText"/>
                    <w:framePr w:hSpace="180" w:wrap="around" w:vAnchor="text" w:hAnchor="text" w:xAlign="right" w:y="1"/>
                    <w:spacing w:after="0"/>
                    <w:suppressOverlap/>
                  </w:pPr>
                </w:p>
                <w:p w:rsidR="00991314" w:rsidRDefault="00991314" w:rsidP="00A6390F">
                  <w:pPr>
                    <w:pStyle w:val="BodyText"/>
                    <w:framePr w:hSpace="180" w:wrap="around" w:vAnchor="text" w:hAnchor="text" w:xAlign="right" w:y="1"/>
                    <w:spacing w:after="0"/>
                    <w:suppressOverlap/>
                  </w:pPr>
                </w:p>
                <w:p w:rsidR="00991314" w:rsidRDefault="008D4E7C" w:rsidP="00A6390F">
                  <w:pPr>
                    <w:pStyle w:val="BodyText"/>
                    <w:framePr w:hSpace="180" w:wrap="around" w:vAnchor="text" w:hAnchor="text" w:xAlign="right" w:y="1"/>
                    <w:numPr>
                      <w:ilvl w:val="0"/>
                      <w:numId w:val="17"/>
                    </w:numPr>
                    <w:spacing w:after="0"/>
                    <w:ind w:left="360"/>
                    <w:suppressOverlap/>
                  </w:pPr>
                  <w:r w:rsidRPr="00830F4D">
                    <w:rPr>
                      <w:noProof/>
                      <w:color w:val="0070C0"/>
                    </w:rPr>
                    <w:drawing>
                      <wp:anchor distT="0" distB="0" distL="114300" distR="114300" simplePos="0" relativeHeight="251659264" behindDoc="0" locked="0" layoutInCell="1" allowOverlap="1" wp14:anchorId="2B8FE0EC" wp14:editId="49B494A7">
                        <wp:simplePos x="0" y="0"/>
                        <wp:positionH relativeFrom="column">
                          <wp:posOffset>-4445</wp:posOffset>
                        </wp:positionH>
                        <wp:positionV relativeFrom="paragraph">
                          <wp:posOffset>-1043940</wp:posOffset>
                        </wp:positionV>
                        <wp:extent cx="876300" cy="949325"/>
                        <wp:effectExtent l="0" t="0" r="0" b="3175"/>
                        <wp:wrapSquare wrapText="bothSides"/>
                        <wp:docPr id="6" name="Picture 6" descr="Z:\Users\crogers\AppData\Local\Microsoft\Windows\Temporary Internet Files\Content.IE5\0GT3C8BO\bv-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sers\crogers\AppData\Local\Microsoft\Windows\Temporary Internet Files\Content.IE5\0GT3C8BO\bv-cartoo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14" w:rsidRPr="003216CF">
                    <w:rPr>
                      <w:b/>
                    </w:rPr>
                    <w:t>He</w:t>
                  </w:r>
                  <w:r w:rsidR="003216CF">
                    <w:rPr>
                      <w:b/>
                    </w:rPr>
                    <w:t>a</w:t>
                  </w:r>
                  <w:r w:rsidR="00991314" w:rsidRPr="003216CF">
                    <w:rPr>
                      <w:b/>
                    </w:rPr>
                    <w:t>r what you’re saying:</w:t>
                  </w:r>
                  <w:r w:rsidR="00991314">
                    <w:t xml:space="preserve">  Try to become aware of your comments.  If </w:t>
                  </w:r>
                  <w:r w:rsidR="003216CF">
                    <w:t>you’re dwelling on the negative, who are you helping?</w:t>
                  </w:r>
                </w:p>
                <w:p w:rsidR="003F4F4E" w:rsidRPr="003216CF" w:rsidRDefault="003216CF" w:rsidP="00A6390F">
                  <w:pPr>
                    <w:pStyle w:val="BodyText"/>
                    <w:framePr w:hSpace="180" w:wrap="around" w:vAnchor="text" w:hAnchor="text" w:xAlign="right" w:y="1"/>
                    <w:numPr>
                      <w:ilvl w:val="0"/>
                      <w:numId w:val="17"/>
                    </w:numPr>
                    <w:spacing w:after="0"/>
                    <w:ind w:left="360"/>
                    <w:suppressOverlap/>
                    <w:rPr>
                      <w:b/>
                      <w:color w:val="0070C0"/>
                      <w:u w:val="single"/>
                    </w:rPr>
                  </w:pPr>
                  <w:r w:rsidRPr="003216CF">
                    <w:rPr>
                      <w:b/>
                    </w:rPr>
                    <w:t>Press for specifics:</w:t>
                  </w:r>
                  <w:r>
                    <w:t xml:space="preserve">  If someone keeps saying that a process isn’t working…for years…ask them to pinpoint exactly where and why.  They will either come up with an answer, or they’ll offer to find an answer, or they’ll evade an answer.  If they do the latter, walk away.</w:t>
                  </w:r>
                </w:p>
                <w:p w:rsidR="003216CF" w:rsidRPr="00D45AE2" w:rsidRDefault="003216CF" w:rsidP="00A6390F">
                  <w:pPr>
                    <w:pStyle w:val="BodyText"/>
                    <w:framePr w:hSpace="180" w:wrap="around" w:vAnchor="text" w:hAnchor="text" w:xAlign="right" w:y="1"/>
                    <w:numPr>
                      <w:ilvl w:val="0"/>
                      <w:numId w:val="17"/>
                    </w:numPr>
                    <w:spacing w:after="0"/>
                    <w:ind w:left="360"/>
                    <w:suppressOverlap/>
                    <w:rPr>
                      <w:b/>
                      <w:color w:val="0070C0"/>
                      <w:u w:val="single"/>
                    </w:rPr>
                  </w:pPr>
                  <w:r>
                    <w:rPr>
                      <w:b/>
                    </w:rPr>
                    <w:t>Encourage solutions</w:t>
                  </w:r>
                  <w:r w:rsidR="00D45AE2">
                    <w:rPr>
                      <w:b/>
                    </w:rPr>
                    <w:t>:</w:t>
                  </w:r>
                  <w:r w:rsidR="00D45AE2">
                    <w:rPr>
                      <w:color w:val="0070C0"/>
                    </w:rPr>
                    <w:t xml:space="preserve"> </w:t>
                  </w:r>
                  <w:r w:rsidR="00D45AE2" w:rsidRPr="00D45AE2">
                    <w:t xml:space="preserve">Instead of agreeing, change the focus of their thinking by asking, </w:t>
                  </w:r>
                  <w:r w:rsidR="00D45AE2" w:rsidRPr="00D45AE2">
                    <w:rPr>
                      <w:i/>
                    </w:rPr>
                    <w:t>“What can you or we do about it?</w:t>
                  </w:r>
                  <w:r w:rsidR="00D45AE2" w:rsidRPr="00D45AE2">
                    <w:t xml:space="preserve">  If they respond with a string of generalities, ask them to be specific.</w:t>
                  </w:r>
                </w:p>
                <w:p w:rsidR="00D45AE2" w:rsidRPr="00D45AE2" w:rsidRDefault="00D45AE2" w:rsidP="00A6390F">
                  <w:pPr>
                    <w:pStyle w:val="BodyText"/>
                    <w:framePr w:hSpace="180" w:wrap="around" w:vAnchor="text" w:hAnchor="text" w:xAlign="right" w:y="1"/>
                    <w:numPr>
                      <w:ilvl w:val="0"/>
                      <w:numId w:val="17"/>
                    </w:numPr>
                    <w:spacing w:after="0"/>
                    <w:ind w:left="360"/>
                    <w:suppressOverlap/>
                    <w:rPr>
                      <w:b/>
                      <w:color w:val="0070C0"/>
                      <w:u w:val="single"/>
                    </w:rPr>
                  </w:pPr>
                  <w:r>
                    <w:rPr>
                      <w:b/>
                    </w:rPr>
                    <w:t>Invite them in:</w:t>
                  </w:r>
                  <w:r>
                    <w:t xml:space="preserve"> Say what you will about those naysayer’s, they care enough to complain.  You might be able to channel it in a positive way.  Look for ways to involve </w:t>
                  </w:r>
                  <w:r w:rsidR="00DA20F5">
                    <w:t>t</w:t>
                  </w:r>
                  <w:r>
                    <w:t>hem in well-organized efforts aimed at analyzing problems, finding solutions, and developing action ideas.</w:t>
                  </w:r>
                </w:p>
                <w:p w:rsidR="00D45AE2" w:rsidRPr="008D4E7C" w:rsidRDefault="00D45AE2" w:rsidP="00A6390F">
                  <w:pPr>
                    <w:pStyle w:val="BodyText"/>
                    <w:framePr w:hSpace="180" w:wrap="around" w:vAnchor="text" w:hAnchor="text" w:xAlign="right" w:y="1"/>
                    <w:numPr>
                      <w:ilvl w:val="0"/>
                      <w:numId w:val="17"/>
                    </w:numPr>
                    <w:spacing w:after="0"/>
                    <w:ind w:left="360"/>
                    <w:suppressOverlap/>
                    <w:rPr>
                      <w:b/>
                      <w:color w:val="0070C0"/>
                      <w:u w:val="single"/>
                    </w:rPr>
                  </w:pPr>
                  <w:r>
                    <w:rPr>
                      <w:b/>
                    </w:rPr>
                    <w:t>Add a little knowledge:</w:t>
                  </w:r>
                  <w:r>
                    <w:rPr>
                      <w:color w:val="0070C0"/>
                    </w:rPr>
                    <w:t xml:space="preserve">  </w:t>
                  </w:r>
                  <w:r w:rsidRPr="00D45AE2">
                    <w:t>Sometimes the situation calls for spontaneous teaching.  For example, if someone is complaining about those “lazy kid employees who just don’t have our work ethic.” You might be able to reframe their thinking with a few facts about generational differences.</w:t>
                  </w:r>
                </w:p>
                <w:p w:rsidR="008D4E7C" w:rsidRPr="000D538E" w:rsidRDefault="008D4E7C" w:rsidP="00A6390F">
                  <w:pPr>
                    <w:pStyle w:val="BodyText"/>
                    <w:framePr w:hSpace="180" w:wrap="around" w:vAnchor="text" w:hAnchor="text" w:xAlign="right" w:y="1"/>
                    <w:numPr>
                      <w:ilvl w:val="0"/>
                      <w:numId w:val="17"/>
                    </w:numPr>
                    <w:spacing w:after="0"/>
                    <w:ind w:left="360"/>
                    <w:suppressOverlap/>
                    <w:rPr>
                      <w:b/>
                      <w:color w:val="0070C0"/>
                      <w:u w:val="single"/>
                    </w:rPr>
                  </w:pPr>
                  <w:r>
                    <w:rPr>
                      <w:b/>
                    </w:rPr>
                    <w:t>Refocus on the present</w:t>
                  </w:r>
                  <w:r w:rsidRPr="00B77B26">
                    <w:rPr>
                      <w:b/>
                    </w:rPr>
                    <w:t>:</w:t>
                  </w:r>
                  <w:r w:rsidRPr="00B77B26">
                    <w:t xml:space="preserve">  Chronically negative people like to live in the past.  The stories are told so many times that they become generalized and end up shaping people’s perception of the current workplace culture.  Whenever you hear these kinds of long-ago references, fast-forward the conversation to the present.  Get people talking in specifics about what’s happening </w:t>
                  </w:r>
                  <w:r w:rsidR="00821C62">
                    <w:t>now.</w:t>
                  </w:r>
                </w:p>
                <w:p w:rsidR="000D538E" w:rsidRDefault="000D538E" w:rsidP="00A6390F">
                  <w:pPr>
                    <w:pStyle w:val="BodyText"/>
                    <w:framePr w:hSpace="180" w:wrap="around" w:vAnchor="text" w:hAnchor="text" w:xAlign="right" w:y="1"/>
                    <w:numPr>
                      <w:ilvl w:val="0"/>
                      <w:numId w:val="17"/>
                    </w:numPr>
                    <w:spacing w:after="0"/>
                    <w:ind w:left="360"/>
                    <w:suppressOverlap/>
                    <w:rPr>
                      <w:b/>
                      <w:color w:val="0070C0"/>
                      <w:u w:val="single"/>
                    </w:rPr>
                  </w:pPr>
                  <w:r>
                    <w:rPr>
                      <w:b/>
                    </w:rPr>
                    <w:t>View people as capable:</w:t>
                  </w:r>
                  <w:r w:rsidR="00821C62">
                    <w:rPr>
                      <w:b/>
                    </w:rPr>
                    <w:t xml:space="preserve">  </w:t>
                  </w:r>
                  <w:r w:rsidR="00821C62">
                    <w:t>Some people pair up and talk about the deficiencies of staff.  They end up sounding like disappointed parents commenting on their wayward kids.  Instead try viewing yourself as a coach, and make the team’s results everyone’s responsibility.</w:t>
                  </w:r>
                </w:p>
                <w:p w:rsidR="000D538E" w:rsidRPr="000C042B" w:rsidRDefault="000D538E" w:rsidP="00A6390F">
                  <w:pPr>
                    <w:pStyle w:val="BodyText"/>
                    <w:framePr w:hSpace="180" w:wrap="around" w:vAnchor="text" w:hAnchor="text" w:xAlign="right" w:y="1"/>
                    <w:numPr>
                      <w:ilvl w:val="0"/>
                      <w:numId w:val="17"/>
                    </w:numPr>
                    <w:spacing w:after="0"/>
                    <w:ind w:left="360"/>
                    <w:suppressOverlap/>
                    <w:rPr>
                      <w:b/>
                      <w:color w:val="0070C0"/>
                      <w:u w:val="single"/>
                    </w:rPr>
                  </w:pPr>
                  <w:r>
                    <w:rPr>
                      <w:b/>
                    </w:rPr>
                    <w:t>Showcase the positive:</w:t>
                  </w:r>
                  <w:r w:rsidR="00821C62">
                    <w:t xml:space="preserve">  Every workplace is filled with </w:t>
                  </w:r>
                  <w:r w:rsidR="005830E7">
                    <w:t>accomplishments, discuss</w:t>
                  </w:r>
                  <w:r w:rsidR="00821C62">
                    <w:t xml:space="preserve"> stories, great practices and meaningful results.  Make a point of talking about these positives.  What we talk about often becomes our future, so don’t take it lightly.</w:t>
                  </w:r>
                </w:p>
              </w:tc>
              <w:tc>
                <w:tcPr>
                  <w:tcW w:w="0" w:type="auto"/>
                </w:tcPr>
                <w:p w:rsidR="00BA3C57" w:rsidRDefault="00BA3C57" w:rsidP="00A6390F">
                  <w:pPr>
                    <w:pStyle w:val="BodyText"/>
                    <w:framePr w:hSpace="180" w:wrap="around" w:vAnchor="text" w:hAnchor="text" w:xAlign="right" w:y="1"/>
                    <w:suppressOverlap/>
                  </w:pPr>
                </w:p>
              </w:tc>
            </w:tr>
          </w:tbl>
          <w:p w:rsidR="003872F0" w:rsidRDefault="003872F0" w:rsidP="00F54082">
            <w:pPr>
              <w:pStyle w:val="ListParagraph"/>
              <w:rPr>
                <w:color w:val="00B050"/>
              </w:rPr>
            </w:pPr>
          </w:p>
          <w:p w:rsidR="009C117F" w:rsidRDefault="009C117F" w:rsidP="00F54082">
            <w:pPr>
              <w:rPr>
                <w:color w:val="00B050"/>
              </w:rPr>
            </w:pPr>
          </w:p>
          <w:p w:rsidR="009C117F" w:rsidRDefault="009C117F" w:rsidP="00F54082">
            <w:pPr>
              <w:rPr>
                <w:b/>
                <w:color w:val="0070C0"/>
                <w:u w:val="single"/>
              </w:rPr>
            </w:pPr>
            <w:r>
              <w:rPr>
                <w:b/>
                <w:color w:val="0070C0"/>
                <w:u w:val="single"/>
              </w:rPr>
              <w:lastRenderedPageBreak/>
              <w:t>HOW TO SUCCEED IN THE WORLD BY REALLY TRYING</w:t>
            </w:r>
          </w:p>
          <w:p w:rsidR="009C117F" w:rsidRDefault="009C117F" w:rsidP="00F54082">
            <w:pPr>
              <w:pStyle w:val="ListParagraph"/>
            </w:pPr>
            <w:r>
              <w:t>One of the secrets to success is to develop personal skills.  It’s a skill set to which anyone at any age can aspire:</w:t>
            </w:r>
          </w:p>
          <w:p w:rsidR="009C117F" w:rsidRDefault="009C117F" w:rsidP="00F54082">
            <w:pPr>
              <w:pStyle w:val="ListParagraph"/>
              <w:numPr>
                <w:ilvl w:val="0"/>
                <w:numId w:val="19"/>
              </w:numPr>
            </w:pPr>
            <w:r>
              <w:t>Learn to learn.</w:t>
            </w:r>
          </w:p>
          <w:p w:rsidR="009C117F" w:rsidRDefault="009C117F" w:rsidP="00F54082">
            <w:pPr>
              <w:pStyle w:val="ListParagraph"/>
              <w:numPr>
                <w:ilvl w:val="0"/>
                <w:numId w:val="19"/>
              </w:numPr>
            </w:pPr>
            <w:r>
              <w:t>Learn to think critically.</w:t>
            </w:r>
          </w:p>
          <w:p w:rsidR="009C117F" w:rsidRDefault="009C117F" w:rsidP="00F54082">
            <w:pPr>
              <w:pStyle w:val="ListParagraph"/>
              <w:numPr>
                <w:ilvl w:val="0"/>
                <w:numId w:val="19"/>
              </w:numPr>
            </w:pPr>
            <w:r>
              <w:t>Learn to listen carefully.</w:t>
            </w:r>
          </w:p>
          <w:p w:rsidR="009C117F" w:rsidRDefault="009C117F" w:rsidP="00F54082">
            <w:pPr>
              <w:pStyle w:val="ListParagraph"/>
              <w:numPr>
                <w:ilvl w:val="0"/>
                <w:numId w:val="19"/>
              </w:numPr>
            </w:pPr>
            <w:r>
              <w:t>Learn to solve problems.</w:t>
            </w:r>
          </w:p>
          <w:p w:rsidR="009C117F" w:rsidRDefault="009C117F" w:rsidP="00F54082">
            <w:pPr>
              <w:pStyle w:val="ListParagraph"/>
              <w:numPr>
                <w:ilvl w:val="0"/>
                <w:numId w:val="19"/>
              </w:numPr>
            </w:pPr>
            <w:r>
              <w:t>Learn to set goals.</w:t>
            </w:r>
          </w:p>
          <w:p w:rsidR="009C117F" w:rsidRDefault="009C117F" w:rsidP="00F54082">
            <w:pPr>
              <w:pStyle w:val="ListParagraph"/>
              <w:numPr>
                <w:ilvl w:val="0"/>
                <w:numId w:val="19"/>
              </w:numPr>
            </w:pPr>
            <w:r>
              <w:t>Learn to manage time effectively.</w:t>
            </w:r>
          </w:p>
          <w:p w:rsidR="009C117F" w:rsidRDefault="009C117F" w:rsidP="00F54082">
            <w:pPr>
              <w:pStyle w:val="ListParagraph"/>
              <w:numPr>
                <w:ilvl w:val="0"/>
                <w:numId w:val="19"/>
              </w:numPr>
            </w:pPr>
            <w:r>
              <w:t>Learn to calmly, effectively state your point of view.</w:t>
            </w:r>
          </w:p>
          <w:p w:rsidR="009C117F" w:rsidRDefault="009C117F" w:rsidP="00F54082">
            <w:pPr>
              <w:pStyle w:val="ListParagraph"/>
              <w:numPr>
                <w:ilvl w:val="0"/>
                <w:numId w:val="19"/>
              </w:numPr>
            </w:pPr>
            <w:r>
              <w:t>Learn to help others overcome problems.</w:t>
            </w:r>
          </w:p>
          <w:p w:rsidR="009C117F" w:rsidRDefault="009C117F" w:rsidP="00F54082">
            <w:pPr>
              <w:pStyle w:val="ListParagraph"/>
              <w:numPr>
                <w:ilvl w:val="0"/>
                <w:numId w:val="19"/>
              </w:numPr>
            </w:pPr>
            <w:r>
              <w:t>Learn to work with people from all backgrounds.</w:t>
            </w:r>
          </w:p>
          <w:p w:rsidR="009C117F" w:rsidRDefault="009C117F" w:rsidP="00F54082">
            <w:pPr>
              <w:pStyle w:val="ListParagraph"/>
              <w:numPr>
                <w:ilvl w:val="0"/>
                <w:numId w:val="19"/>
              </w:numPr>
            </w:pPr>
            <w:r>
              <w:t xml:space="preserve">Learn to demonstrate </w:t>
            </w:r>
            <w:r w:rsidR="00E641EB">
              <w:t>initiative</w:t>
            </w:r>
            <w:r>
              <w:t xml:space="preserve"> and to make decisions.</w:t>
            </w:r>
          </w:p>
          <w:p w:rsidR="009C117F" w:rsidRDefault="009C117F" w:rsidP="00F54082">
            <w:pPr>
              <w:pStyle w:val="ListParagraph"/>
              <w:numPr>
                <w:ilvl w:val="0"/>
                <w:numId w:val="19"/>
              </w:numPr>
            </w:pPr>
            <w:r>
              <w:t>Learn to accept responsibility.</w:t>
            </w:r>
          </w:p>
          <w:p w:rsidR="009C117F" w:rsidRDefault="009C117F" w:rsidP="00F54082">
            <w:pPr>
              <w:pStyle w:val="ListParagraph"/>
              <w:numPr>
                <w:ilvl w:val="0"/>
                <w:numId w:val="19"/>
              </w:numPr>
            </w:pPr>
            <w:r>
              <w:t>Learn to deal with change.</w:t>
            </w:r>
          </w:p>
          <w:p w:rsidR="009C117F" w:rsidRDefault="009C117F" w:rsidP="00F54082">
            <w:pPr>
              <w:pStyle w:val="ListParagraph"/>
              <w:numPr>
                <w:ilvl w:val="0"/>
                <w:numId w:val="19"/>
              </w:numPr>
            </w:pPr>
            <w:r>
              <w:t>Learn to write and speak effectively.</w:t>
            </w:r>
          </w:p>
          <w:p w:rsidR="00EC6C32" w:rsidRPr="00EC6C32" w:rsidRDefault="009C117F" w:rsidP="00F54082">
            <w:r>
              <w:rPr>
                <w:noProof/>
              </w:rPr>
              <w:drawing>
                <wp:inline distT="0" distB="0" distL="0" distR="0" wp14:anchorId="2FB7991F" wp14:editId="3179F48F">
                  <wp:extent cx="1385152" cy="885825"/>
                  <wp:effectExtent l="0" t="0" r="5715" b="0"/>
                  <wp:docPr id="8" name="Picture 8" descr="Z:\Users\crogers\AppData\Local\Microsoft\Windows\Temporary Internet Files\Content.IE5\ZNF0SGIM\premiere-journee-en-classe-comprehension-bdf-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Users\crogers\AppData\Local\Microsoft\Windows\Temporary Internet Files\Content.IE5\ZNF0SGIM\premiere-journee-en-classe-comprehension-bdf-1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072" cy="887053"/>
                          </a:xfrm>
                          <a:prstGeom prst="rect">
                            <a:avLst/>
                          </a:prstGeom>
                          <a:noFill/>
                          <a:ln>
                            <a:noFill/>
                          </a:ln>
                        </pic:spPr>
                      </pic:pic>
                    </a:graphicData>
                  </a:graphic>
                </wp:inline>
              </w:drawing>
            </w:r>
          </w:p>
          <w:p w:rsidR="0016213A" w:rsidRPr="005D13EF" w:rsidRDefault="0016213A" w:rsidP="00F54082">
            <w:pPr>
              <w:pStyle w:val="Heading2"/>
              <w:rPr>
                <w:b/>
                <w:sz w:val="24"/>
                <w:szCs w:val="24"/>
                <w:u w:val="single"/>
              </w:rPr>
            </w:pPr>
          </w:p>
          <w:p w:rsidR="0087541B" w:rsidRPr="0087541B" w:rsidRDefault="0087541B" w:rsidP="00F54082">
            <w:pPr>
              <w:tabs>
                <w:tab w:val="left" w:pos="585"/>
              </w:tabs>
              <w:rPr>
                <w:b/>
                <w:color w:val="0070C0"/>
              </w:rPr>
            </w:pPr>
            <w:r w:rsidRPr="0087541B">
              <w:rPr>
                <w:b/>
                <w:color w:val="0070C0"/>
              </w:rPr>
              <w:t>SIT……WAIT…..THINK…..AND ACT WHEN CORRECT</w:t>
            </w:r>
          </w:p>
          <w:p w:rsidR="006E175C" w:rsidRDefault="0087541B" w:rsidP="00F54082">
            <w:pPr>
              <w:pStyle w:val="BodyText"/>
              <w:jc w:val="center"/>
            </w:pPr>
            <w:r>
              <w:rPr>
                <w:noProof/>
              </w:rPr>
              <w:drawing>
                <wp:inline distT="0" distB="0" distL="0" distR="0" wp14:anchorId="2EA7D191" wp14:editId="771F6351">
                  <wp:extent cx="771525" cy="771525"/>
                  <wp:effectExtent l="0" t="0" r="9525" b="9525"/>
                  <wp:docPr id="10" name="Picture 10" descr="Z:\Users\crogers\AppData\Local\Microsoft\Windows\Temporary Internet Files\Content.IE5\ZNF0SGIM\reclining-r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Users\crogers\AppData\Local\Microsoft\Windows\Temporary Internet Files\Content.IE5\ZNF0SGIM\reclining-reader[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87541B" w:rsidRDefault="0087541B" w:rsidP="00F54082">
            <w:pPr>
              <w:pStyle w:val="BodyText"/>
              <w:pBdr>
                <w:bottom w:val="single" w:sz="12" w:space="1" w:color="auto"/>
              </w:pBdr>
            </w:pPr>
            <w:r>
              <w:t>Whenever you have issues in the workplace, you’re better off thinking through your words before voicing complaints, thoughts or suggestions.  The workplace can sometimes become a tinderbox for conflict.</w:t>
            </w:r>
          </w:p>
          <w:p w:rsidR="00F0700A" w:rsidRPr="00F0700A" w:rsidRDefault="00F0700A" w:rsidP="00F54082">
            <w:pPr>
              <w:pStyle w:val="BodyText"/>
              <w:pBdr>
                <w:bottom w:val="single" w:sz="12" w:space="1" w:color="auto"/>
              </w:pBdr>
              <w:rPr>
                <w:b/>
              </w:rPr>
            </w:pPr>
          </w:p>
          <w:p w:rsidR="00B9716C" w:rsidRDefault="00B9716C" w:rsidP="00F54082">
            <w:pPr>
              <w:pStyle w:val="BodyText"/>
              <w:rPr>
                <w:b/>
                <w:color w:val="0070C0"/>
              </w:rPr>
            </w:pPr>
            <w:r>
              <w:rPr>
                <w:noProof/>
              </w:rPr>
              <w:drawing>
                <wp:anchor distT="0" distB="0" distL="114300" distR="114300" simplePos="0" relativeHeight="251660288" behindDoc="1" locked="0" layoutInCell="1" allowOverlap="1" wp14:anchorId="0A320ABF" wp14:editId="3CD2FFA7">
                  <wp:simplePos x="0" y="0"/>
                  <wp:positionH relativeFrom="column">
                    <wp:posOffset>3478530</wp:posOffset>
                  </wp:positionH>
                  <wp:positionV relativeFrom="paragraph">
                    <wp:posOffset>246380</wp:posOffset>
                  </wp:positionV>
                  <wp:extent cx="1233805" cy="1181100"/>
                  <wp:effectExtent l="0" t="0" r="4445" b="0"/>
                  <wp:wrapTight wrapText="bothSides">
                    <wp:wrapPolygon edited="0">
                      <wp:start x="0" y="0"/>
                      <wp:lineTo x="0" y="21252"/>
                      <wp:lineTo x="21344" y="21252"/>
                      <wp:lineTo x="21344" y="0"/>
                      <wp:lineTo x="0" y="0"/>
                    </wp:wrapPolygon>
                  </wp:wrapTight>
                  <wp:docPr id="12" name="Picture 12" descr="Z:\Users\crogers\AppData\Local\Microsoft\Windows\Temporary Internet Files\Content.IE5\0JBTPELQ\207730,13129940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Users\crogers\AppData\Local\Microsoft\Windows\Temporary Internet Files\Content.IE5\0JBTPELQ\207730,1312994004,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380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70C0"/>
              </w:rPr>
              <w:t>We could learn a lot from crayons,</w:t>
            </w:r>
          </w:p>
          <w:p w:rsidR="00B9716C" w:rsidRDefault="00B9716C" w:rsidP="00F54082">
            <w:pPr>
              <w:pStyle w:val="BodyText"/>
              <w:rPr>
                <w:b/>
                <w:color w:val="92D050"/>
              </w:rPr>
            </w:pPr>
            <w:r>
              <w:rPr>
                <w:b/>
                <w:color w:val="92D050"/>
              </w:rPr>
              <w:t>Some are sharp, some are pretty and some are dull.</w:t>
            </w:r>
          </w:p>
          <w:p w:rsidR="00B9716C" w:rsidRDefault="00B9716C" w:rsidP="00F54082">
            <w:pPr>
              <w:pStyle w:val="BodyText"/>
              <w:rPr>
                <w:b/>
                <w:color w:val="7030A0"/>
              </w:rPr>
            </w:pPr>
            <w:r>
              <w:rPr>
                <w:b/>
                <w:color w:val="7030A0"/>
              </w:rPr>
              <w:t>Some have weird names and all are different colors.</w:t>
            </w:r>
          </w:p>
          <w:p w:rsidR="00B9716C" w:rsidRDefault="00B9716C" w:rsidP="00F54082">
            <w:pPr>
              <w:pStyle w:val="BodyText"/>
              <w:rPr>
                <w:b/>
                <w:color w:val="FF0000"/>
              </w:rPr>
            </w:pPr>
            <w:r>
              <w:rPr>
                <w:b/>
                <w:color w:val="FF0000"/>
              </w:rPr>
              <w:t>But they all have to live in the same box.</w:t>
            </w:r>
          </w:p>
          <w:p w:rsidR="008E2AD5" w:rsidRPr="008E2AD5" w:rsidRDefault="008E2AD5" w:rsidP="00F54082">
            <w:pPr>
              <w:pStyle w:val="BodyText"/>
              <w:jc w:val="center"/>
              <w:rPr>
                <w:b/>
              </w:rPr>
            </w:pPr>
            <w:r>
              <w:rPr>
                <w:b/>
              </w:rPr>
              <w:t>____________________________</w:t>
            </w:r>
            <w:r w:rsidR="004D6E59">
              <w:rPr>
                <w:noProof/>
              </w:rPr>
              <w:drawing>
                <wp:inline distT="0" distB="0" distL="0" distR="0" wp14:anchorId="05A68157" wp14:editId="5FBC87A6">
                  <wp:extent cx="1304925" cy="1057275"/>
                  <wp:effectExtent l="0" t="0" r="0" b="9525"/>
                  <wp:docPr id="9" name="Picture 9" descr="Z:\Users\crogers\AppData\Local\Microsoft\Windows\Temporary Internet Files\Content.IE5\HQ46ZFZ1\rak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Users\crogers\AppData\Local\Microsoft\Windows\Temporary Internet Files\Content.IE5\HQ46ZFZ1\rak8[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830" cy="1062870"/>
                          </a:xfrm>
                          <a:prstGeom prst="rect">
                            <a:avLst/>
                          </a:prstGeom>
                          <a:noFill/>
                          <a:ln>
                            <a:noFill/>
                          </a:ln>
                        </pic:spPr>
                      </pic:pic>
                    </a:graphicData>
                  </a:graphic>
                </wp:inline>
              </w:drawing>
            </w:r>
          </w:p>
        </w:tc>
      </w:tr>
    </w:tbl>
    <w:p w:rsidR="00285B1F" w:rsidRPr="00285B1F" w:rsidRDefault="00F54082" w:rsidP="005D13EF">
      <w:pPr>
        <w:rPr>
          <w:b/>
          <w:color w:val="0070C0"/>
        </w:rPr>
      </w:pPr>
      <w:r>
        <w:rPr>
          <w:b/>
          <w:color w:val="0070C0"/>
        </w:rPr>
        <w:lastRenderedPageBreak/>
        <w:br w:type="textWrapping" w:clear="all"/>
      </w:r>
    </w:p>
    <w:sectPr w:rsidR="00285B1F" w:rsidRPr="00285B1F"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9F" w:rsidRDefault="0082379F">
      <w:r>
        <w:separator/>
      </w:r>
    </w:p>
  </w:endnote>
  <w:endnote w:type="continuationSeparator" w:id="0">
    <w:p w:rsidR="0082379F" w:rsidRDefault="0082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9F" w:rsidRDefault="0082379F">
      <w:r>
        <w:separator/>
      </w:r>
    </w:p>
  </w:footnote>
  <w:footnote w:type="continuationSeparator" w:id="0">
    <w:p w:rsidR="0082379F" w:rsidRDefault="0082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DAA"/>
      </v:shape>
    </w:pict>
  </w:numPicBullet>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B565F"/>
    <w:multiLevelType w:val="hybridMultilevel"/>
    <w:tmpl w:val="9F68C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4E3416"/>
    <w:multiLevelType w:val="hybridMultilevel"/>
    <w:tmpl w:val="EFBCC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E1D20"/>
    <w:multiLevelType w:val="hybridMultilevel"/>
    <w:tmpl w:val="097C3F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B20963"/>
    <w:multiLevelType w:val="hybridMultilevel"/>
    <w:tmpl w:val="9E3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A1CE2"/>
    <w:multiLevelType w:val="hybridMultilevel"/>
    <w:tmpl w:val="A62A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C105A"/>
    <w:multiLevelType w:val="hybridMultilevel"/>
    <w:tmpl w:val="F406288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A375CE2"/>
    <w:multiLevelType w:val="hybridMultilevel"/>
    <w:tmpl w:val="247C30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2"/>
  </w:num>
  <w:num w:numId="16">
    <w:abstractNumId w:val="15"/>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9F"/>
    <w:rsid w:val="000034C8"/>
    <w:rsid w:val="0001017F"/>
    <w:rsid w:val="000120E3"/>
    <w:rsid w:val="000278DC"/>
    <w:rsid w:val="00037900"/>
    <w:rsid w:val="00054D9C"/>
    <w:rsid w:val="00054EED"/>
    <w:rsid w:val="00064ABB"/>
    <w:rsid w:val="0008500C"/>
    <w:rsid w:val="000900D7"/>
    <w:rsid w:val="000931A2"/>
    <w:rsid w:val="000A0174"/>
    <w:rsid w:val="000A615C"/>
    <w:rsid w:val="000C042B"/>
    <w:rsid w:val="000C3564"/>
    <w:rsid w:val="000D333F"/>
    <w:rsid w:val="000D538E"/>
    <w:rsid w:val="000F759E"/>
    <w:rsid w:val="00152026"/>
    <w:rsid w:val="0016213A"/>
    <w:rsid w:val="00166952"/>
    <w:rsid w:val="0018091B"/>
    <w:rsid w:val="00185854"/>
    <w:rsid w:val="001A0764"/>
    <w:rsid w:val="001A73A5"/>
    <w:rsid w:val="001C1D7A"/>
    <w:rsid w:val="001C513D"/>
    <w:rsid w:val="001F3DA2"/>
    <w:rsid w:val="00205897"/>
    <w:rsid w:val="00207A3F"/>
    <w:rsid w:val="002261A3"/>
    <w:rsid w:val="00250C05"/>
    <w:rsid w:val="00256107"/>
    <w:rsid w:val="00263E6D"/>
    <w:rsid w:val="00284F99"/>
    <w:rsid w:val="00285B1F"/>
    <w:rsid w:val="002913A0"/>
    <w:rsid w:val="00293B89"/>
    <w:rsid w:val="002A1EC9"/>
    <w:rsid w:val="002C25E2"/>
    <w:rsid w:val="002D08DA"/>
    <w:rsid w:val="002E724C"/>
    <w:rsid w:val="00311C43"/>
    <w:rsid w:val="003216CF"/>
    <w:rsid w:val="00323944"/>
    <w:rsid w:val="0033010D"/>
    <w:rsid w:val="00345B00"/>
    <w:rsid w:val="00355832"/>
    <w:rsid w:val="003872F0"/>
    <w:rsid w:val="003B39AD"/>
    <w:rsid w:val="003C22EC"/>
    <w:rsid w:val="003C2D2C"/>
    <w:rsid w:val="003D2281"/>
    <w:rsid w:val="003D26EA"/>
    <w:rsid w:val="003F4F4E"/>
    <w:rsid w:val="004058E6"/>
    <w:rsid w:val="00435C8C"/>
    <w:rsid w:val="00445DFF"/>
    <w:rsid w:val="00446955"/>
    <w:rsid w:val="00461DD5"/>
    <w:rsid w:val="00467D0D"/>
    <w:rsid w:val="00476A3C"/>
    <w:rsid w:val="00487680"/>
    <w:rsid w:val="004A24B3"/>
    <w:rsid w:val="004A364D"/>
    <w:rsid w:val="004B0FFC"/>
    <w:rsid w:val="004C1410"/>
    <w:rsid w:val="004D1C31"/>
    <w:rsid w:val="004D6E59"/>
    <w:rsid w:val="0050638D"/>
    <w:rsid w:val="00513E17"/>
    <w:rsid w:val="0053525C"/>
    <w:rsid w:val="00553550"/>
    <w:rsid w:val="00557DF7"/>
    <w:rsid w:val="00572A82"/>
    <w:rsid w:val="005830E7"/>
    <w:rsid w:val="00583F92"/>
    <w:rsid w:val="005B07C4"/>
    <w:rsid w:val="005B7D74"/>
    <w:rsid w:val="005D13EF"/>
    <w:rsid w:val="005F19A9"/>
    <w:rsid w:val="00607AB7"/>
    <w:rsid w:val="0062037E"/>
    <w:rsid w:val="006301A9"/>
    <w:rsid w:val="00640CB3"/>
    <w:rsid w:val="00641B4A"/>
    <w:rsid w:val="00647A45"/>
    <w:rsid w:val="0065629C"/>
    <w:rsid w:val="00667A20"/>
    <w:rsid w:val="006740B0"/>
    <w:rsid w:val="006748DD"/>
    <w:rsid w:val="006764F4"/>
    <w:rsid w:val="006B2964"/>
    <w:rsid w:val="006B5CAB"/>
    <w:rsid w:val="006E175C"/>
    <w:rsid w:val="006E2B39"/>
    <w:rsid w:val="006E4848"/>
    <w:rsid w:val="00706858"/>
    <w:rsid w:val="00750087"/>
    <w:rsid w:val="007526F6"/>
    <w:rsid w:val="007674AE"/>
    <w:rsid w:val="00785129"/>
    <w:rsid w:val="007854B9"/>
    <w:rsid w:val="007B77C1"/>
    <w:rsid w:val="007C6452"/>
    <w:rsid w:val="007D0A4D"/>
    <w:rsid w:val="007D70D8"/>
    <w:rsid w:val="007E5EDE"/>
    <w:rsid w:val="007F6DD0"/>
    <w:rsid w:val="00803EA2"/>
    <w:rsid w:val="00820316"/>
    <w:rsid w:val="00821C62"/>
    <w:rsid w:val="0082379F"/>
    <w:rsid w:val="00830F4D"/>
    <w:rsid w:val="0087541B"/>
    <w:rsid w:val="00882EFF"/>
    <w:rsid w:val="0089652D"/>
    <w:rsid w:val="008966A3"/>
    <w:rsid w:val="008B5090"/>
    <w:rsid w:val="008C02E2"/>
    <w:rsid w:val="008D4E7C"/>
    <w:rsid w:val="008D762F"/>
    <w:rsid w:val="008E2AD5"/>
    <w:rsid w:val="008E3623"/>
    <w:rsid w:val="008E395A"/>
    <w:rsid w:val="00902ABA"/>
    <w:rsid w:val="0093052A"/>
    <w:rsid w:val="00937B06"/>
    <w:rsid w:val="00950A66"/>
    <w:rsid w:val="00973C81"/>
    <w:rsid w:val="00974264"/>
    <w:rsid w:val="00977E9B"/>
    <w:rsid w:val="00991314"/>
    <w:rsid w:val="009B6C89"/>
    <w:rsid w:val="009C117F"/>
    <w:rsid w:val="009F78DD"/>
    <w:rsid w:val="00A01022"/>
    <w:rsid w:val="00A0659B"/>
    <w:rsid w:val="00A30AD6"/>
    <w:rsid w:val="00A31337"/>
    <w:rsid w:val="00A424FE"/>
    <w:rsid w:val="00A55198"/>
    <w:rsid w:val="00A6390F"/>
    <w:rsid w:val="00AF03CB"/>
    <w:rsid w:val="00B21077"/>
    <w:rsid w:val="00B251F8"/>
    <w:rsid w:val="00B3116E"/>
    <w:rsid w:val="00B3583B"/>
    <w:rsid w:val="00B63A4A"/>
    <w:rsid w:val="00B77B26"/>
    <w:rsid w:val="00B91AF5"/>
    <w:rsid w:val="00B9716C"/>
    <w:rsid w:val="00BA3C57"/>
    <w:rsid w:val="00BB0A32"/>
    <w:rsid w:val="00BB494C"/>
    <w:rsid w:val="00BD6D7E"/>
    <w:rsid w:val="00BE227B"/>
    <w:rsid w:val="00BF40C4"/>
    <w:rsid w:val="00C05296"/>
    <w:rsid w:val="00C070B3"/>
    <w:rsid w:val="00C12CE9"/>
    <w:rsid w:val="00C340F5"/>
    <w:rsid w:val="00C36F02"/>
    <w:rsid w:val="00C43D00"/>
    <w:rsid w:val="00C56BED"/>
    <w:rsid w:val="00C65005"/>
    <w:rsid w:val="00C96B31"/>
    <w:rsid w:val="00CB547E"/>
    <w:rsid w:val="00CB71C9"/>
    <w:rsid w:val="00CC35E1"/>
    <w:rsid w:val="00CD0123"/>
    <w:rsid w:val="00CE0C4C"/>
    <w:rsid w:val="00CE6266"/>
    <w:rsid w:val="00D02F61"/>
    <w:rsid w:val="00D03826"/>
    <w:rsid w:val="00D45AE2"/>
    <w:rsid w:val="00D608D8"/>
    <w:rsid w:val="00D7361C"/>
    <w:rsid w:val="00D75AF0"/>
    <w:rsid w:val="00D85360"/>
    <w:rsid w:val="00D90FE0"/>
    <w:rsid w:val="00D952AE"/>
    <w:rsid w:val="00D9538B"/>
    <w:rsid w:val="00DA20F5"/>
    <w:rsid w:val="00DA3D17"/>
    <w:rsid w:val="00DA3DAB"/>
    <w:rsid w:val="00E10A9A"/>
    <w:rsid w:val="00E128EF"/>
    <w:rsid w:val="00E27281"/>
    <w:rsid w:val="00E52C8F"/>
    <w:rsid w:val="00E63888"/>
    <w:rsid w:val="00E641EB"/>
    <w:rsid w:val="00E647C2"/>
    <w:rsid w:val="00E7703B"/>
    <w:rsid w:val="00E8006C"/>
    <w:rsid w:val="00E849EC"/>
    <w:rsid w:val="00EB76B8"/>
    <w:rsid w:val="00EC6C32"/>
    <w:rsid w:val="00ED33BD"/>
    <w:rsid w:val="00ED3723"/>
    <w:rsid w:val="00EF7AB2"/>
    <w:rsid w:val="00F01888"/>
    <w:rsid w:val="00F0700A"/>
    <w:rsid w:val="00F20431"/>
    <w:rsid w:val="00F35249"/>
    <w:rsid w:val="00F4396F"/>
    <w:rsid w:val="00F45098"/>
    <w:rsid w:val="00F54082"/>
    <w:rsid w:val="00F54792"/>
    <w:rsid w:val="00F71A42"/>
    <w:rsid w:val="00F81DFE"/>
    <w:rsid w:val="00FA47F3"/>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C12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Users\TEMP\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2003-07-31T14:56:00Z</cp:lastPrinted>
  <dcterms:created xsi:type="dcterms:W3CDTF">2022-02-07T18:13:00Z</dcterms:created>
  <dcterms:modified xsi:type="dcterms:W3CDTF">2022-02-07T18:13:00Z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