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DB4D55C" w14:textId="77777777" w:rsidTr="000653D7">
        <w:tc>
          <w:tcPr>
            <w:tcW w:w="1908" w:type="dxa"/>
            <w:shd w:val="clear" w:color="auto" w:fill="F2F2F2"/>
          </w:tcPr>
          <w:p w14:paraId="2E9592B7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B2A380B" w14:textId="3B72D2D0" w:rsidR="00D74263" w:rsidRPr="0039705A" w:rsidRDefault="004404A6" w:rsidP="004806C6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Housing Based Case Manager</w:t>
            </w:r>
            <w:r w:rsidR="00B11538" w:rsidRPr="0039705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  <w:r w:rsidR="001414A8">
              <w:rPr>
                <w:rStyle w:val="PlaceholderText"/>
                <w:rFonts w:ascii="Century Gothic" w:hAnsi="Century Gothic"/>
                <w:b/>
                <w:color w:val="auto"/>
              </w:rPr>
              <w:t>for Youth</w:t>
            </w:r>
          </w:p>
        </w:tc>
      </w:tr>
      <w:tr w:rsidR="00D74263" w:rsidRPr="00B475DD" w14:paraId="73E04C16" w14:textId="77777777" w:rsidTr="000653D7">
        <w:tc>
          <w:tcPr>
            <w:tcW w:w="1908" w:type="dxa"/>
            <w:shd w:val="clear" w:color="auto" w:fill="F2F2F2"/>
          </w:tcPr>
          <w:p w14:paraId="7D6A22AE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BC15B81" w14:textId="77777777" w:rsidR="00D74263" w:rsidRPr="0039705A" w:rsidRDefault="00B11538" w:rsidP="004806C6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Community Services </w:t>
            </w:r>
          </w:p>
        </w:tc>
      </w:tr>
      <w:tr w:rsidR="00D74263" w:rsidRPr="00B475DD" w14:paraId="7CA480E1" w14:textId="77777777" w:rsidTr="000653D7">
        <w:tc>
          <w:tcPr>
            <w:tcW w:w="1908" w:type="dxa"/>
            <w:shd w:val="clear" w:color="auto" w:fill="F2F2F2"/>
          </w:tcPr>
          <w:p w14:paraId="7ED3DB4E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0912E28" w14:textId="53C8E177" w:rsidR="00D74263" w:rsidRPr="0039705A" w:rsidRDefault="001414A8" w:rsidP="004806C6">
            <w:p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Youth </w:t>
            </w:r>
            <w:r w:rsidR="00BB4E18"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D74263" w:rsidRPr="00B475DD" w14:paraId="4F4896B3" w14:textId="77777777" w:rsidTr="000653D7">
        <w:tc>
          <w:tcPr>
            <w:tcW w:w="1908" w:type="dxa"/>
            <w:shd w:val="clear" w:color="auto" w:fill="F2F2F2"/>
          </w:tcPr>
          <w:p w14:paraId="4DF13B76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A83044B" w14:textId="3596EB47" w:rsidR="00D74263" w:rsidRPr="0039705A" w:rsidRDefault="003464A4" w:rsidP="004806C6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DS</w:t>
            </w:r>
          </w:p>
        </w:tc>
      </w:tr>
      <w:tr w:rsidR="00D74263" w:rsidRPr="00B475DD" w14:paraId="3997B276" w14:textId="77777777" w:rsidTr="000653D7">
        <w:tc>
          <w:tcPr>
            <w:tcW w:w="1908" w:type="dxa"/>
            <w:shd w:val="clear" w:color="auto" w:fill="F2F2F2"/>
          </w:tcPr>
          <w:p w14:paraId="2ECA289F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C851C34" w14:textId="57410BC0" w:rsidR="00D74263" w:rsidRPr="0039705A" w:rsidRDefault="00B11538" w:rsidP="00516A0F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39705A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2AE8D556" w14:textId="77777777" w:rsidTr="000653D7">
        <w:tc>
          <w:tcPr>
            <w:tcW w:w="1908" w:type="dxa"/>
            <w:shd w:val="clear" w:color="auto" w:fill="F2F2F2"/>
          </w:tcPr>
          <w:p w14:paraId="0BA61BDB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E8762DE" w14:textId="77777777" w:rsidR="00D74263" w:rsidRPr="0039705A" w:rsidRDefault="00B11538" w:rsidP="00B11538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5DA61C1B" w14:textId="77777777" w:rsidTr="000653D7">
        <w:tc>
          <w:tcPr>
            <w:tcW w:w="1908" w:type="dxa"/>
            <w:shd w:val="clear" w:color="auto" w:fill="F2F2F2"/>
          </w:tcPr>
          <w:p w14:paraId="414D134B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4E9EFEC" w14:textId="77777777" w:rsidR="00D74263" w:rsidRPr="0039705A" w:rsidRDefault="004404A6" w:rsidP="00516A0F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Ashley Halladay-</w:t>
            </w:r>
            <w:proofErr w:type="spellStart"/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Schmandt</w:t>
            </w:r>
            <w:proofErr w:type="spellEnd"/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D74263" w:rsidRPr="00B475DD" w14:paraId="019897EC" w14:textId="77777777" w:rsidTr="000653D7">
        <w:tc>
          <w:tcPr>
            <w:tcW w:w="1908" w:type="dxa"/>
            <w:shd w:val="clear" w:color="auto" w:fill="F2F2F2"/>
          </w:tcPr>
          <w:p w14:paraId="48911CD0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20B2BB6" w14:textId="0F2A389A" w:rsidR="00D74263" w:rsidRPr="0039705A" w:rsidRDefault="0039705A" w:rsidP="00516A0F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4334F0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4, 2021</w:t>
            </w: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03AF233" w14:textId="77777777" w:rsidTr="000653D7">
        <w:tc>
          <w:tcPr>
            <w:tcW w:w="9576" w:type="dxa"/>
            <w:gridSpan w:val="2"/>
            <w:shd w:val="clear" w:color="auto" w:fill="EEECE1"/>
          </w:tcPr>
          <w:p w14:paraId="5608F20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430A888" w14:textId="77777777" w:rsidTr="006477EF">
        <w:tc>
          <w:tcPr>
            <w:tcW w:w="9576" w:type="dxa"/>
            <w:gridSpan w:val="2"/>
          </w:tcPr>
          <w:p w14:paraId="606A6392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>Purpose:</w:t>
            </w:r>
          </w:p>
          <w:p w14:paraId="3AF56BAD" w14:textId="3FF26053" w:rsidR="00D74263" w:rsidRPr="001414A8" w:rsidRDefault="001414A8" w:rsidP="00951F9D">
            <w:pPr>
              <w:spacing w:before="20" w:line="259" w:lineRule="auto"/>
              <w:rPr>
                <w:rFonts w:ascii="Century Gothic" w:hAnsi="Century Gothic"/>
                <w:bCs/>
              </w:rPr>
            </w:pPr>
            <w:r w:rsidRPr="00410FAC">
              <w:rPr>
                <w:rFonts w:ascii="Century Gothic" w:hAnsi="Century Gothic"/>
                <w:bCs/>
              </w:rPr>
              <w:t xml:space="preserve">The Housing Based Case Manager for Youth will work in partnership with the Youth Homeless Programs </w:t>
            </w:r>
            <w:r>
              <w:rPr>
                <w:rFonts w:ascii="Century Gothic" w:hAnsi="Century Gothic"/>
                <w:bCs/>
              </w:rPr>
              <w:t>C</w:t>
            </w:r>
            <w:r w:rsidRPr="00410FAC">
              <w:rPr>
                <w:rFonts w:ascii="Century Gothic" w:hAnsi="Century Gothic"/>
                <w:bCs/>
              </w:rPr>
              <w:t>oordinator to administer the homeless programming of the YHDP.  In addition, the Housing Based Case Manager for Youth will provide direct services to youth age 18-24 who are housed within the Rapid Rehousing Program for Youth throughout the 5-county region (Antrim, Benzie, Grand Traverse, Kalkaska</w:t>
            </w:r>
            <w:r>
              <w:rPr>
                <w:rFonts w:ascii="Century Gothic" w:hAnsi="Century Gothic"/>
                <w:bCs/>
              </w:rPr>
              <w:t>,</w:t>
            </w:r>
            <w:r w:rsidRPr="00410FAC">
              <w:rPr>
                <w:rFonts w:ascii="Century Gothic" w:hAnsi="Century Gothic"/>
                <w:bCs/>
              </w:rPr>
              <w:t xml:space="preserve"> and Leelanau Counties).  </w:t>
            </w:r>
          </w:p>
        </w:tc>
      </w:tr>
      <w:tr w:rsidR="00D74263" w:rsidRPr="00B475DD" w14:paraId="550E3EA9" w14:textId="77777777" w:rsidTr="001414A8">
        <w:trPr>
          <w:trHeight w:val="404"/>
        </w:trPr>
        <w:tc>
          <w:tcPr>
            <w:tcW w:w="9576" w:type="dxa"/>
            <w:gridSpan w:val="2"/>
          </w:tcPr>
          <w:p w14:paraId="09BE5DB3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>Essential functions:</w:t>
            </w:r>
          </w:p>
          <w:p w14:paraId="70BCB8BA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 w:line="23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Utilize a positive youth development approach, emphasizing a youth’s strengths and assets in fostering skill building within areas of education, employment, mental wellness and building permanent connections.   </w:t>
            </w:r>
          </w:p>
          <w:p w14:paraId="4AD825DD" w14:textId="77777777" w:rsidR="001414A8" w:rsidRPr="00410FAC" w:rsidRDefault="001414A8" w:rsidP="001414A8">
            <w:pPr>
              <w:numPr>
                <w:ilvl w:val="0"/>
                <w:numId w:val="12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Utilize active listening skills to frame a relationship with program participants built on trust.  </w:t>
            </w:r>
          </w:p>
          <w:p w14:paraId="61317962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Develop and maintain a robust list of and agreements with referral partners. </w:t>
            </w:r>
          </w:p>
          <w:p w14:paraId="73FA708B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Assist the Youth Program Coordinator to track financial assistance through the NMCAA financial logs for the HUD YHDP RRH Program.  </w:t>
            </w:r>
          </w:p>
          <w:p w14:paraId="69BC6B5F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Participate in internal case conferencing reviews on a weekly basis with internal team members through a solution-focused positive youth development lens.   </w:t>
            </w:r>
          </w:p>
          <w:p w14:paraId="7C70047C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Attend wrap-around meetings with community partners. </w:t>
            </w:r>
          </w:p>
          <w:p w14:paraId="7068F53E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Embrace and empower the self-determination of young people in the trajectory of their lives. </w:t>
            </w:r>
          </w:p>
          <w:p w14:paraId="011B374D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 w:line="23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color w:val="262626"/>
                <w:szCs w:val="20"/>
              </w:rPr>
              <w:t xml:space="preserve">Provide strengths based, client-centered housing focused case management to youth 18-24 exiting homelessness.  The housing focused case management may include development of a crisis plan, a guest policy, budgeting, rental payment assistance, linkage and referral to other applicable community resources and supports, as well as housing related goal development.   </w:t>
            </w:r>
          </w:p>
          <w:p w14:paraId="0C253D8C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color w:val="262626"/>
                <w:szCs w:val="20"/>
              </w:rPr>
              <w:t xml:space="preserve">Partner with youth to develop a youth-led housing plan that will ultimately assist the young person in achieving their housing related goals.   </w:t>
            </w:r>
          </w:p>
          <w:p w14:paraId="0BB6DCA9" w14:textId="5E22211D" w:rsidR="001414A8" w:rsidRPr="00410FAC" w:rsidRDefault="001414A8" w:rsidP="001414A8">
            <w:pPr>
              <w:numPr>
                <w:ilvl w:val="0"/>
                <w:numId w:val="12"/>
              </w:numPr>
              <w:spacing w:before="0" w:after="0" w:line="242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color w:val="262626"/>
                <w:szCs w:val="20"/>
              </w:rPr>
              <w:t xml:space="preserve">Complete a Service Prioritization Decision Assistance Tool (TAY SPDAT) for all enrolled youth to use as a tool in developing a housing plan and retaining permanent housing.   </w:t>
            </w:r>
          </w:p>
          <w:p w14:paraId="013BF23D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color w:val="262626"/>
                <w:szCs w:val="20"/>
              </w:rPr>
              <w:t xml:space="preserve">Place eligible individuals and families on the MSHDA Housing Choice Voucher with Homeless Preference waiting list.   </w:t>
            </w:r>
          </w:p>
          <w:p w14:paraId="4CEA386E" w14:textId="77777777" w:rsidR="000142C8" w:rsidRPr="001414A8" w:rsidRDefault="001414A8" w:rsidP="00951F9D">
            <w:pPr>
              <w:pStyle w:val="Label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b w:val="0"/>
                <w:bCs/>
              </w:rPr>
            </w:pPr>
            <w:r w:rsidRPr="001414A8">
              <w:rPr>
                <w:rFonts w:ascii="Century Gothic" w:hAnsi="Century Gothic"/>
                <w:b w:val="0"/>
                <w:bCs/>
                <w:szCs w:val="20"/>
              </w:rPr>
              <w:t>Attend Community Services Department meetings, program meetings, and NWCOC meetings as required.</w:t>
            </w:r>
          </w:p>
          <w:p w14:paraId="55D13750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 w:line="239" w:lineRule="auto"/>
              <w:ind w:right="552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color w:val="262626"/>
                <w:szCs w:val="20"/>
              </w:rPr>
              <w:t xml:space="preserve">Complete a Homeless Management Information System (HMIS) profile and maintain client level information on the system.  All client files are to be maintained using a paperless system and electronic forms as provided.  </w:t>
            </w:r>
          </w:p>
          <w:p w14:paraId="5643ED2D" w14:textId="77777777" w:rsidR="001414A8" w:rsidRPr="00410FAC" w:rsidRDefault="001414A8" w:rsidP="00951F9D">
            <w:pPr>
              <w:numPr>
                <w:ilvl w:val="0"/>
                <w:numId w:val="12"/>
              </w:numPr>
              <w:spacing w:before="0" w:line="259" w:lineRule="auto"/>
              <w:ind w:right="552"/>
              <w:rPr>
                <w:rFonts w:ascii="Century Gothic" w:hAnsi="Century Gothic"/>
                <w:color w:val="000000"/>
                <w:szCs w:val="20"/>
              </w:rPr>
            </w:pPr>
            <w:r w:rsidRPr="00410FAC">
              <w:rPr>
                <w:rFonts w:ascii="Century Gothic" w:hAnsi="Century Gothic"/>
                <w:color w:val="262626"/>
                <w:szCs w:val="20"/>
              </w:rPr>
              <w:t>Maintain a 94% data quality/completeness percentage for HMIS entry at all times.</w:t>
            </w:r>
          </w:p>
          <w:p w14:paraId="7D76E3CE" w14:textId="06EEAD85" w:rsidR="001414A8" w:rsidRPr="001414A8" w:rsidRDefault="001414A8" w:rsidP="001414A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1414A8">
              <w:rPr>
                <w:rFonts w:ascii="Century Gothic" w:hAnsi="Century Gothic"/>
                <w:b w:val="0"/>
                <w:bCs/>
                <w:szCs w:val="20"/>
              </w:rPr>
              <w:lastRenderedPageBreak/>
              <w:t>Perform other duties as requested.</w:t>
            </w:r>
            <w:r w:rsidRPr="001414A8">
              <w:rPr>
                <w:b w:val="0"/>
                <w:bCs/>
              </w:rPr>
              <w:t xml:space="preserve">  </w:t>
            </w:r>
          </w:p>
        </w:tc>
      </w:tr>
      <w:tr w:rsidR="00D74263" w:rsidRPr="00B475DD" w14:paraId="6C6445FB" w14:textId="77777777" w:rsidTr="00951F9D">
        <w:trPr>
          <w:trHeight w:val="890"/>
        </w:trPr>
        <w:tc>
          <w:tcPr>
            <w:tcW w:w="9576" w:type="dxa"/>
            <w:gridSpan w:val="2"/>
          </w:tcPr>
          <w:p w14:paraId="1E86CEA9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lastRenderedPageBreak/>
              <w:t>Position Objectives:</w:t>
            </w:r>
          </w:p>
          <w:p w14:paraId="4E59F6F7" w14:textId="3C6DF5CD" w:rsidR="00D74263" w:rsidRPr="0039705A" w:rsidRDefault="000142C8" w:rsidP="00B475DD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effectively and efficient perform the essential function for the betterment of NMCAA and our communities. </w:t>
            </w:r>
          </w:p>
        </w:tc>
      </w:tr>
      <w:tr w:rsidR="00D74263" w:rsidRPr="00B475DD" w14:paraId="57C58636" w14:textId="77777777" w:rsidTr="00B453C1">
        <w:trPr>
          <w:trHeight w:val="890"/>
        </w:trPr>
        <w:tc>
          <w:tcPr>
            <w:tcW w:w="9576" w:type="dxa"/>
            <w:gridSpan w:val="2"/>
          </w:tcPr>
          <w:p w14:paraId="5DDDAFBC" w14:textId="77777777" w:rsidR="00D74263" w:rsidRPr="0039705A" w:rsidRDefault="00D74263" w:rsidP="00951F9D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Measured by:</w:t>
            </w:r>
          </w:p>
          <w:p w14:paraId="1A152E60" w14:textId="77777777" w:rsidR="001414A8" w:rsidRPr="00410FAC" w:rsidRDefault="001414A8" w:rsidP="001414A8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The accuracy and timeliness of work produced. </w:t>
            </w:r>
          </w:p>
          <w:p w14:paraId="39A0C6BB" w14:textId="77777777" w:rsidR="001414A8" w:rsidRPr="00410FAC" w:rsidRDefault="001414A8" w:rsidP="001414A8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Annual Performance Reviews. </w:t>
            </w:r>
          </w:p>
          <w:p w14:paraId="67F4D411" w14:textId="77777777" w:rsidR="001414A8" w:rsidRPr="00410FAC" w:rsidRDefault="001414A8" w:rsidP="001414A8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Program audits. </w:t>
            </w:r>
          </w:p>
          <w:p w14:paraId="36786BBD" w14:textId="77777777" w:rsidR="001414A8" w:rsidRPr="00410FAC" w:rsidRDefault="001414A8" w:rsidP="001414A8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Cooperation with and feedback from coworkers. </w:t>
            </w:r>
          </w:p>
          <w:p w14:paraId="33F4F771" w14:textId="44CA0A27" w:rsidR="00D74263" w:rsidRPr="0039705A" w:rsidRDefault="001414A8" w:rsidP="001414A8">
            <w:pPr>
              <w:pStyle w:val="ListParagraph"/>
              <w:numPr>
                <w:ilvl w:val="0"/>
                <w:numId w:val="13"/>
              </w:numPr>
              <w:spacing w:before="20" w:after="40"/>
              <w:rPr>
                <w:rFonts w:ascii="Century Gothic" w:hAnsi="Century Gothic"/>
                <w:b/>
              </w:rPr>
            </w:pPr>
            <w:r w:rsidRPr="00410FAC">
              <w:rPr>
                <w:rFonts w:ascii="Century Gothic" w:hAnsi="Century Gothic"/>
                <w:szCs w:val="20"/>
              </w:rPr>
              <w:t>The ability to represent the Agency professionally and efficiently service clients.</w:t>
            </w:r>
            <w:r>
              <w:t xml:space="preserve"> </w:t>
            </w:r>
            <w:r w:rsidR="000142C8" w:rsidRPr="0039705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</w:tr>
      <w:tr w:rsidR="00D74263" w:rsidRPr="00B475DD" w14:paraId="273CA557" w14:textId="77777777" w:rsidTr="008F09D8">
        <w:trPr>
          <w:trHeight w:val="683"/>
        </w:trPr>
        <w:tc>
          <w:tcPr>
            <w:tcW w:w="9576" w:type="dxa"/>
            <w:gridSpan w:val="2"/>
          </w:tcPr>
          <w:p w14:paraId="4FBAAF7D" w14:textId="77777777" w:rsidR="00D74263" w:rsidRPr="0039705A" w:rsidRDefault="00D74263" w:rsidP="00951F9D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Education:</w:t>
            </w:r>
          </w:p>
          <w:p w14:paraId="47EB4180" w14:textId="61C7DDC3" w:rsidR="00D74263" w:rsidRPr="0039705A" w:rsidRDefault="001414A8" w:rsidP="003970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Bachelor’s degree or equivalent experience in required skill areas.   </w:t>
            </w:r>
          </w:p>
        </w:tc>
      </w:tr>
      <w:tr w:rsidR="00D74263" w:rsidRPr="00B475DD" w14:paraId="0DBD4BBB" w14:textId="77777777" w:rsidTr="0039705A">
        <w:trPr>
          <w:trHeight w:val="701"/>
        </w:trPr>
        <w:tc>
          <w:tcPr>
            <w:tcW w:w="9576" w:type="dxa"/>
            <w:gridSpan w:val="2"/>
          </w:tcPr>
          <w:p w14:paraId="5C9FCC47" w14:textId="77777777" w:rsidR="00D74263" w:rsidRPr="0039705A" w:rsidRDefault="00D74263" w:rsidP="008F09D8">
            <w:pPr>
              <w:spacing w:before="40" w:after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Experience:</w:t>
            </w:r>
          </w:p>
          <w:p w14:paraId="563D6E4C" w14:textId="56956346" w:rsidR="00D74263" w:rsidRPr="0039705A" w:rsidRDefault="00DF7B2E" w:rsidP="008F09D8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39705A">
              <w:rPr>
                <w:rFonts w:ascii="Century Gothic" w:hAnsi="Century Gothic"/>
                <w:bCs/>
              </w:rPr>
              <w:t xml:space="preserve">A minimum of 2 years </w:t>
            </w:r>
            <w:r w:rsidR="0039705A">
              <w:rPr>
                <w:rFonts w:ascii="Century Gothic" w:hAnsi="Century Gothic"/>
                <w:bCs/>
              </w:rPr>
              <w:t>relevant experience.</w:t>
            </w:r>
          </w:p>
        </w:tc>
      </w:tr>
      <w:tr w:rsidR="00D74263" w:rsidRPr="00B475DD" w14:paraId="798D3D50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D74263" w:rsidRPr="0039705A" w:rsidRDefault="00D74263" w:rsidP="008F09D8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Essential Abilities:</w:t>
            </w:r>
          </w:p>
          <w:p w14:paraId="3C99FD76" w14:textId="77777777" w:rsidR="001414A8" w:rsidRPr="00410FAC" w:rsidRDefault="001414A8" w:rsidP="001414A8">
            <w:pPr>
              <w:numPr>
                <w:ilvl w:val="0"/>
                <w:numId w:val="11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A commitment to the NMCAA philosophy and mission. </w:t>
            </w:r>
          </w:p>
          <w:p w14:paraId="7A9D609F" w14:textId="77777777" w:rsidR="001414A8" w:rsidRPr="00410FAC" w:rsidRDefault="001414A8" w:rsidP="001414A8">
            <w:pPr>
              <w:numPr>
                <w:ilvl w:val="0"/>
                <w:numId w:val="11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Maintain a high level of ethical standards and serve as a role model to staff, youth and others at NMCAA. </w:t>
            </w:r>
          </w:p>
          <w:p w14:paraId="02909BEB" w14:textId="77777777" w:rsidR="001414A8" w:rsidRPr="00410FAC" w:rsidRDefault="001414A8" w:rsidP="001414A8">
            <w:pPr>
              <w:numPr>
                <w:ilvl w:val="0"/>
                <w:numId w:val="11"/>
              </w:numPr>
              <w:spacing w:before="0" w:after="0" w:line="23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Ability to interact positively with co-workers and clients in a non-judgmental, tactful and courteous manner.  </w:t>
            </w:r>
          </w:p>
          <w:p w14:paraId="00BA2612" w14:textId="77777777" w:rsidR="001414A8" w:rsidRPr="00410FAC" w:rsidRDefault="001414A8" w:rsidP="001414A8">
            <w:pPr>
              <w:numPr>
                <w:ilvl w:val="0"/>
                <w:numId w:val="11"/>
              </w:numPr>
              <w:spacing w:before="0" w:after="0" w:line="23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Self-motivated, systems thinker, sound conflict management style, team player leadership qualities a must. </w:t>
            </w:r>
          </w:p>
          <w:p w14:paraId="00532DA7" w14:textId="77777777" w:rsidR="001414A8" w:rsidRPr="00410FAC" w:rsidRDefault="001414A8" w:rsidP="00951F9D">
            <w:pPr>
              <w:numPr>
                <w:ilvl w:val="0"/>
                <w:numId w:val="11"/>
              </w:numPr>
              <w:spacing w:before="0" w:after="0" w:line="23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Proven ability to handle confidential information with discretion, be adaptable to various competing demands, and demonstrate the highest level of customer/client service and response. </w:t>
            </w:r>
          </w:p>
          <w:p w14:paraId="539AED44" w14:textId="515D61CB" w:rsidR="00D74263" w:rsidRPr="008F09D8" w:rsidRDefault="001414A8" w:rsidP="00951F9D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Demonstrated ability to achieve high performance goals and meet deadlines in a fast-paced environment. </w:t>
            </w:r>
            <w:r w:rsidR="00D74263" w:rsidRPr="0039705A">
              <w:rPr>
                <w:rFonts w:ascii="Century Gothic" w:hAnsi="Century Gothic"/>
              </w:rPr>
              <w:t xml:space="preserve"> </w:t>
            </w:r>
          </w:p>
        </w:tc>
      </w:tr>
      <w:tr w:rsidR="00D74263" w:rsidRPr="00B475DD" w14:paraId="4E9C78E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D74263" w:rsidRPr="0039705A" w:rsidRDefault="00D74263" w:rsidP="00951F9D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Skills Required:</w:t>
            </w:r>
          </w:p>
          <w:p w14:paraId="2B81E8BA" w14:textId="77777777" w:rsidR="001414A8" w:rsidRPr="00410FAC" w:rsidRDefault="001414A8" w:rsidP="001414A8">
            <w:pPr>
              <w:numPr>
                <w:ilvl w:val="0"/>
                <w:numId w:val="16"/>
              </w:numPr>
              <w:spacing w:before="0" w:after="0" w:line="23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Strong organizational skills that reflect ability to perform and prioritize multiple tasks seamlessly with excellent attention to detail. </w:t>
            </w:r>
          </w:p>
          <w:p w14:paraId="31C9E0BE" w14:textId="7CD3E46F" w:rsidR="001414A8" w:rsidRPr="00410FAC" w:rsidRDefault="001414A8" w:rsidP="001414A8">
            <w:pPr>
              <w:numPr>
                <w:ilvl w:val="0"/>
                <w:numId w:val="16"/>
              </w:numPr>
              <w:spacing w:before="0" w:after="0" w:line="23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Very strong interpersonal skills and the ability to build relationships with stakeholders, including staff, external partners, and program participants.  </w:t>
            </w:r>
          </w:p>
          <w:p w14:paraId="28BFA334" w14:textId="77777777" w:rsidR="001414A8" w:rsidRPr="00410FAC" w:rsidRDefault="001414A8" w:rsidP="001414A8">
            <w:pPr>
              <w:numPr>
                <w:ilvl w:val="0"/>
                <w:numId w:val="16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10FAC">
              <w:rPr>
                <w:rFonts w:ascii="Century Gothic" w:hAnsi="Century Gothic"/>
                <w:szCs w:val="20"/>
              </w:rPr>
              <w:t xml:space="preserve">Ease with electronic database systems (HMIS preferred) and Microsoft Office applications. </w:t>
            </w:r>
          </w:p>
          <w:p w14:paraId="29697AE5" w14:textId="5AE4D4FC" w:rsidR="000142C8" w:rsidRPr="0039705A" w:rsidRDefault="001414A8" w:rsidP="00951F9D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Fonts w:ascii="Century Gothic" w:hAnsi="Century Gothic"/>
                <w:b/>
              </w:rPr>
            </w:pPr>
            <w:r w:rsidRPr="00410FAC">
              <w:rPr>
                <w:rFonts w:ascii="Century Gothic" w:hAnsi="Century Gothic"/>
                <w:szCs w:val="20"/>
              </w:rPr>
              <w:t>Forward looking thinker, who actively seeks opportunities and proposes solutions.</w:t>
            </w:r>
          </w:p>
        </w:tc>
      </w:tr>
      <w:tr w:rsidR="00D74263" w:rsidRPr="00B475DD" w14:paraId="3CD654EF" w14:textId="77777777" w:rsidTr="00951F9D">
        <w:trPr>
          <w:trHeight w:val="890"/>
        </w:trPr>
        <w:tc>
          <w:tcPr>
            <w:tcW w:w="9576" w:type="dxa"/>
            <w:gridSpan w:val="2"/>
          </w:tcPr>
          <w:p w14:paraId="63D754B0" w14:textId="77777777" w:rsidR="00D74263" w:rsidRPr="0039705A" w:rsidRDefault="00D74263" w:rsidP="00951F9D">
            <w:pPr>
              <w:spacing w:before="40" w:after="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Physical Expectations:</w:t>
            </w:r>
          </w:p>
          <w:p w14:paraId="591CB19A" w14:textId="22502F81" w:rsidR="000142C8" w:rsidRPr="001414A8" w:rsidRDefault="001414A8" w:rsidP="00951F9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414A8">
              <w:rPr>
                <w:rFonts w:ascii="Century Gothic" w:hAnsi="Century Gothic"/>
                <w:szCs w:val="20"/>
              </w:rPr>
              <w:t xml:space="preserve">Able to physically accommodate a wide range of mild physical activity, including but not limited to moving up and down stairs, lift bag/boxes up to 35 pounds.   </w:t>
            </w:r>
          </w:p>
        </w:tc>
      </w:tr>
      <w:tr w:rsidR="00D74263" w:rsidRPr="00B475DD" w14:paraId="42FDC04B" w14:textId="77777777" w:rsidTr="0039705A">
        <w:trPr>
          <w:trHeight w:val="962"/>
        </w:trPr>
        <w:tc>
          <w:tcPr>
            <w:tcW w:w="9576" w:type="dxa"/>
            <w:gridSpan w:val="2"/>
          </w:tcPr>
          <w:p w14:paraId="0585358F" w14:textId="77777777" w:rsidR="00D74263" w:rsidRPr="0039705A" w:rsidRDefault="00D74263" w:rsidP="006477EF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Environmental Expectations:</w:t>
            </w:r>
          </w:p>
          <w:p w14:paraId="62647588" w14:textId="4EB2BC24" w:rsidR="00D74263" w:rsidRPr="004334F0" w:rsidRDefault="0039705A" w:rsidP="004334F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</w:rPr>
            </w:pPr>
            <w:r w:rsidRPr="004334F0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1BC6C794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22B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CF5A8FF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42D7" w14:textId="3DA146F3" w:rsidR="00D74263" w:rsidRDefault="00951F9D">
    <w:pPr>
      <w:pStyle w:val="Footer"/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\p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P:\Agency\Human Resources\Job Descriptions\Community Services\Homeless Prevention Program\Housing Based Case Manager for Youth.docx</w:t>
    </w:r>
    <w:r>
      <w:rPr>
        <w:sz w:val="14"/>
        <w:szCs w:val="14"/>
      </w:rPr>
      <w:fldChar w:fldCharType="end"/>
    </w:r>
    <w:r w:rsidR="008F09D8">
      <w:rPr>
        <w:sz w:val="14"/>
        <w:szCs w:val="14"/>
      </w:rPr>
      <w:t xml:space="preserve">          </w:t>
    </w:r>
    <w:r>
      <w:rPr>
        <w:sz w:val="14"/>
        <w:szCs w:val="14"/>
      </w:rPr>
      <w:t xml:space="preserve">                 </w:t>
    </w:r>
    <w:r w:rsidR="008F09D8">
      <w:rPr>
        <w:sz w:val="14"/>
        <w:szCs w:val="14"/>
      </w:rPr>
      <w:t xml:space="preserve">     </w:t>
    </w:r>
    <w:r w:rsidR="00CD3524">
      <w:fldChar w:fldCharType="begin"/>
    </w:r>
    <w:r w:rsidR="00CD3524">
      <w:instrText xml:space="preserve"> PAGE   \* MERGEFORMAT </w:instrText>
    </w:r>
    <w:r w:rsidR="00CD3524">
      <w:fldChar w:fldCharType="separate"/>
    </w:r>
    <w:r w:rsidR="00076EE4">
      <w:rPr>
        <w:noProof/>
      </w:rPr>
      <w:t>2</w:t>
    </w:r>
    <w:r w:rsidR="00CD35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336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D85C50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EDC3" w14:textId="5590AA4B" w:rsidR="00D74263" w:rsidRDefault="0039705A" w:rsidP="0039705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278271C4" wp14:editId="06211271">
              <wp:simplePos x="0" y="0"/>
              <wp:positionH relativeFrom="margin">
                <wp:posOffset>1428750</wp:posOffset>
              </wp:positionH>
              <wp:positionV relativeFrom="topMargin">
                <wp:posOffset>362585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D5CBA6" w14:textId="77777777" w:rsidR="0039705A" w:rsidRDefault="0039705A" w:rsidP="0039705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13823" w14:textId="77777777" w:rsidR="0039705A" w:rsidRPr="002405E7" w:rsidRDefault="0039705A" w:rsidP="0039705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8636011" w14:textId="77777777" w:rsidR="0039705A" w:rsidRPr="002405E7" w:rsidRDefault="0039705A" w:rsidP="0039705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271C4" id="Group 198" o:spid="_x0000_s1026" style="position:absolute;margin-left:112.5pt;margin-top:28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KiPlh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ED5CBA6" w14:textId="77777777" w:rsidR="0039705A" w:rsidRDefault="0039705A" w:rsidP="0039705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FD13823" w14:textId="77777777" w:rsidR="0039705A" w:rsidRPr="002405E7" w:rsidRDefault="0039705A" w:rsidP="0039705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8636011" w14:textId="77777777" w:rsidR="0039705A" w:rsidRPr="002405E7" w:rsidRDefault="0039705A" w:rsidP="0039705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F72390C" wp14:editId="4C4AEBDB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E76624" w14:textId="771757CF" w:rsidR="0039705A" w:rsidRDefault="0039705A" w:rsidP="000653D7">
    <w:pPr>
      <w:pStyle w:val="Companyname"/>
      <w:spacing w:before="0" w:after="0"/>
      <w:jc w:val="center"/>
    </w:pPr>
  </w:p>
  <w:p w14:paraId="1E36BECC" w14:textId="77777777" w:rsidR="0039705A" w:rsidRPr="00841DC8" w:rsidRDefault="0039705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86AA2"/>
    <w:multiLevelType w:val="hybridMultilevel"/>
    <w:tmpl w:val="88D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AF1EB3"/>
    <w:multiLevelType w:val="hybridMultilevel"/>
    <w:tmpl w:val="C23ACBA2"/>
    <w:lvl w:ilvl="0" w:tplc="A7747D12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0A11"/>
    <w:multiLevelType w:val="hybridMultilevel"/>
    <w:tmpl w:val="C4021B8A"/>
    <w:lvl w:ilvl="0" w:tplc="BB9838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2868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009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AF55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20FF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2B46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C5EC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8E3F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454B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B15DC"/>
    <w:multiLevelType w:val="hybridMultilevel"/>
    <w:tmpl w:val="B944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323D"/>
    <w:multiLevelType w:val="hybridMultilevel"/>
    <w:tmpl w:val="338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885"/>
    <w:multiLevelType w:val="hybridMultilevel"/>
    <w:tmpl w:val="4FE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BCB6368"/>
    <w:multiLevelType w:val="hybridMultilevel"/>
    <w:tmpl w:val="6CB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F16EE5"/>
    <w:multiLevelType w:val="hybridMultilevel"/>
    <w:tmpl w:val="2C9E0C0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EA9F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5A9C1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AEF3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EE61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8B30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2F16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18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4F2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371C4D"/>
    <w:multiLevelType w:val="hybridMultilevel"/>
    <w:tmpl w:val="E4DC7AC8"/>
    <w:lvl w:ilvl="0" w:tplc="ABAA3D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25F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A6B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3B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C01E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CC89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C1D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A51C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6C8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5497"/>
    <w:multiLevelType w:val="hybridMultilevel"/>
    <w:tmpl w:val="AAFA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57E0"/>
    <w:multiLevelType w:val="hybridMultilevel"/>
    <w:tmpl w:val="CEECBBD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EC33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E30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2955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085B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04E1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0C18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E6A3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4EBD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B7122"/>
    <w:multiLevelType w:val="hybridMultilevel"/>
    <w:tmpl w:val="DD8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6C0C"/>
    <w:multiLevelType w:val="hybridMultilevel"/>
    <w:tmpl w:val="B1C2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970DDF"/>
    <w:multiLevelType w:val="hybridMultilevel"/>
    <w:tmpl w:val="AAC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2"/>
  </w:num>
  <w:num w:numId="5">
    <w:abstractNumId w:val="20"/>
  </w:num>
  <w:num w:numId="6">
    <w:abstractNumId w:val="24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23"/>
  </w:num>
  <w:num w:numId="19">
    <w:abstractNumId w:val="13"/>
  </w:num>
  <w:num w:numId="20">
    <w:abstractNumId w:val="5"/>
  </w:num>
  <w:num w:numId="21">
    <w:abstractNumId w:val="16"/>
  </w:num>
  <w:num w:numId="22">
    <w:abstractNumId w:val="19"/>
  </w:num>
  <w:num w:numId="23">
    <w:abstractNumId w:val="15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14A8"/>
    <w:rsid w:val="00147A54"/>
    <w:rsid w:val="001A24F2"/>
    <w:rsid w:val="001B5876"/>
    <w:rsid w:val="00201D1A"/>
    <w:rsid w:val="002421DC"/>
    <w:rsid w:val="00276A6F"/>
    <w:rsid w:val="002A383B"/>
    <w:rsid w:val="003200FD"/>
    <w:rsid w:val="003464A4"/>
    <w:rsid w:val="00365061"/>
    <w:rsid w:val="00374F55"/>
    <w:rsid w:val="003829AA"/>
    <w:rsid w:val="00386B78"/>
    <w:rsid w:val="0039705A"/>
    <w:rsid w:val="00423C7E"/>
    <w:rsid w:val="004334F0"/>
    <w:rsid w:val="004404A6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09D8"/>
    <w:rsid w:val="008F1904"/>
    <w:rsid w:val="008F2537"/>
    <w:rsid w:val="009060CD"/>
    <w:rsid w:val="009330CA"/>
    <w:rsid w:val="00942365"/>
    <w:rsid w:val="00951F9D"/>
    <w:rsid w:val="00976D84"/>
    <w:rsid w:val="0099370D"/>
    <w:rsid w:val="009A01BA"/>
    <w:rsid w:val="00A01E8A"/>
    <w:rsid w:val="00A359F5"/>
    <w:rsid w:val="00A81673"/>
    <w:rsid w:val="00AD7ABD"/>
    <w:rsid w:val="00B11538"/>
    <w:rsid w:val="00B453C1"/>
    <w:rsid w:val="00B475DD"/>
    <w:rsid w:val="00B61BE6"/>
    <w:rsid w:val="00BA31EC"/>
    <w:rsid w:val="00BB2F85"/>
    <w:rsid w:val="00BB4E18"/>
    <w:rsid w:val="00BD0958"/>
    <w:rsid w:val="00C15B27"/>
    <w:rsid w:val="00C22FD2"/>
    <w:rsid w:val="00C41450"/>
    <w:rsid w:val="00C62179"/>
    <w:rsid w:val="00C76253"/>
    <w:rsid w:val="00CC4A82"/>
    <w:rsid w:val="00CD3524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DF7B2E"/>
    <w:rsid w:val="00E0032A"/>
    <w:rsid w:val="00E23F93"/>
    <w:rsid w:val="00E25F48"/>
    <w:rsid w:val="00E72CE7"/>
    <w:rsid w:val="00EA68A2"/>
    <w:rsid w:val="00F06F66"/>
    <w:rsid w:val="00F10053"/>
    <w:rsid w:val="00F4686D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27</TotalTime>
  <Pages>2</Pages>
  <Words>664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13</cp:revision>
  <cp:lastPrinted>2015-01-22T14:01:00Z</cp:lastPrinted>
  <dcterms:created xsi:type="dcterms:W3CDTF">2019-05-23T18:29:00Z</dcterms:created>
  <dcterms:modified xsi:type="dcterms:W3CDTF">2021-02-04T21:18:00Z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